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9623fa623b438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5293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34</w:t>
            </w:r>
            <w:r>
              <w:t xml:space="preserve">  Nays </w:t>
              <w:t xml:space="preserve">15</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80</w:t>
            </w:r>
            <w:r>
              <w:t xml:space="preserve">  Nays </w:t>
              <w:t xml:space="preserve">17</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5293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5293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Darneille and Chase)</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court-based and school-based efforts to promote attendance and reduce truancy; amending RCW 28A.225.020, 28A.225.025, 28A.225.026, 28A.225.090, and 28A.225.151; and repealing RCW 28A.225.115.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2016 c 205 s 4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w:t>
      </w:r>
      <w:r>
        <w:rPr>
          <w:u w:val="single"/>
        </w:rPr>
        <w:t xml:space="preserve">At some point after the second and before the fifth unexcused absence, t</w:t>
      </w:r>
      <w:r>
        <w:rPr/>
        <w:t xml:space="preserve">ake data-informed steps to eliminate or reduce the child's absences. These steps </w:t>
      </w:r>
      <w:r>
        <w:t>((</w:t>
      </w:r>
      <w:r>
        <w:rPr>
          <w:strike/>
        </w:rPr>
        <w:t xml:space="preserve">shall</w:t>
      </w:r>
      <w:r>
        <w:t>))</w:t>
      </w:r>
      <w:r>
        <w:rPr/>
        <w:t xml:space="preserve"> </w:t>
      </w:r>
      <w:r>
        <w:rPr>
          <w:u w:val="single"/>
        </w:rPr>
        <w:t xml:space="preserve">must</w:t>
      </w:r>
      <w:r>
        <w:rPr/>
        <w:t xml:space="preserve"> include application of </w:t>
      </w:r>
      <w:r>
        <w:rPr>
          <w:u w:val="single"/>
        </w:rPr>
        <w:t xml:space="preserve">an assessment tool such as</w:t>
      </w:r>
      <w:r>
        <w:rPr/>
        <w:t xml:space="preserve"> the Washington assessment of the risks and needs of students (WARNS) by a school district's designee under RCW 28A.225.026</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(i) For any child with an existing individualized education plan or 504 plan, these steps must include the convening of the child's individualized education plan or 504 plan team, including a behavioral specialist or mental health specialist where appropriate, to consider the reasons for the absences. If necessary, and if consent from the parent is given, a functional behavior assessment to explore the function of the absence behavior shall be conducted and a detailed behavior plan completed. Time should be allowed for the behavior plan to be initiated and data tracked to determine progress.</w:t>
      </w:r>
    </w:p>
    <w:p>
      <w:pPr>
        <w:spacing w:before="0" w:after="0" w:line="408" w:lineRule="exact"/>
        <w:ind w:left="0" w:right="0" w:firstLine="576"/>
        <w:jc w:val="left"/>
      </w:pPr>
      <w:r>
        <w:rPr>
          <w:u w:val="single"/>
        </w:rPr>
        <w:t xml:space="preserve">(ii) With respect to any child without an existing individualized education plan or 504 plan reasonably believed to have a mental or physical disability or impairment, these steps must include informing the child's parent of the right to obtain an appropriate evaluation at no cost to the parent to determine whether the child has a disability or impairment and needs accommodations, related services, or special education services. This includes children with suspected emotional or behavioral disabilities as defined in WAC 392-172A-01035. If the school obtains consent to conduct an evaluation, time should be allowed for the evaluation to be completed and, if the child is found to be eligible for special education services, accommodations, or related services, a plan developed to address the child's needs.</w:t>
      </w:r>
    </w:p>
    <w:p>
      <w:pPr>
        <w:spacing w:before="0" w:after="0" w:line="408" w:lineRule="exact"/>
        <w:ind w:left="0" w:right="0" w:firstLine="576"/>
        <w:jc w:val="left"/>
      </w:pPr>
      <w:r>
        <w:rPr>
          <w:u w:val="single"/>
        </w:rPr>
        <w:t xml:space="preserve">(iii) These steps must include,</w:t>
      </w:r>
      <w:r>
        <w:rPr/>
        <w:t xml:space="preserve"> where appropriate, providing an available approved best practice or research-based intervention, or both, consistent with the </w:t>
      </w:r>
      <w:r>
        <w:t>((</w:t>
      </w:r>
      <w:r>
        <w:rPr>
          <w:strike/>
        </w:rPr>
        <w:t xml:space="preserve">WARNS profile</w:t>
      </w:r>
      <w:r>
        <w:t>))</w:t>
      </w:r>
      <w:r>
        <w:rPr/>
        <w:t xml:space="preserve"> </w:t>
      </w:r>
      <w:r>
        <w:rPr>
          <w:u w:val="single"/>
        </w:rPr>
        <w:t xml:space="preserve">assessment tool</w:t>
      </w:r>
      <w:r>
        <w:rPr/>
        <w:t xml:space="preserve">, adjusting the child's school program or school or course assignment, providing more individualized or remedial instruction, providing appropriate vocational courses or work experience, referring the child to a community truancy board,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 </w:t>
      </w:r>
      <w:r>
        <w:rPr>
          <w:u w:val="single"/>
        </w:rPr>
        <w:t xml:space="preserve">All school districts must use the standard choice transfer form for releasing a student to a nonresident school district for the purposes of accessing an alternative learning experience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2016 c 205 s 5 are each amended to read as follows:</w:t>
      </w:r>
    </w:p>
    <w:p>
      <w:pPr>
        <w:spacing w:before="0" w:after="0" w:line="408" w:lineRule="exact"/>
        <w:ind w:left="0" w:right="0" w:firstLine="576"/>
        <w:jc w:val="left"/>
      </w:pPr>
      <w:r>
        <w:rPr/>
        <w:t xml:space="preserve">(1) For purposes of this chapter, "community truancy board" means a board established pursuant to a memorandum of understanding between a juvenile court and a school district and composed of members of the local community in which the child attends school. </w:t>
      </w:r>
      <w:r>
        <w:t>((</w:t>
      </w:r>
      <w:r>
        <w:rPr>
          <w:strike/>
        </w:rPr>
        <w:t xml:space="preserve">All members of a</w:t>
      </w:r>
      <w:r>
        <w:t>))</w:t>
      </w:r>
      <w:r>
        <w:rPr/>
        <w:t xml:space="preserve"> </w:t>
      </w:r>
      <w:r>
        <w:rPr>
          <w:u w:val="single"/>
        </w:rPr>
        <w:t xml:space="preserve">C</w:t>
      </w:r>
      <w:r>
        <w:rPr/>
        <w:t xml:space="preserve">ommunity truancy board</w:t>
      </w:r>
      <w:r>
        <w:rPr>
          <w:u w:val="single"/>
        </w:rPr>
        <w:t xml:space="preserve">s</w:t>
      </w:r>
      <w:r>
        <w:rPr/>
        <w:t xml:space="preserve"> must </w:t>
      </w:r>
      <w:r>
        <w:rPr>
          <w:u w:val="single"/>
        </w:rPr>
        <w:t xml:space="preserve">include members who</w:t>
      </w:r>
      <w:r>
        <w:rPr/>
        <w:t xml:space="preserve"> receive training regarding the identification of barriers to school attendance, the use of the Washington assessment of the risks and needs of students (WARNS) or other assessment tools to identify the specific needs of individual children, </w:t>
      </w:r>
      <w:r>
        <w:rPr>
          <w:u w:val="single"/>
        </w:rPr>
        <w:t xml:space="preserve">culturally responsive interactions,</w:t>
      </w:r>
      <w:r>
        <w:rPr/>
        <w:t xml:space="preserve"> trauma-informed approaches to discipline, evidence-based treatments that have been found effective in supporting at-risk youth and their families, and the specific services and treatment available in the particular school, court, community, and elsewhere. Duties of a community truancy board shall include, but not be limited to: Identifying barriers to school attendance, recommending methods for improving attendance such as connecting students and their families with community services, culturally appropriate promising practices, and evidence-based services such as functional family therapy, multisystemic therapy, and aggression replacement training, suggesting to the school district that the child enroll in another school, an alternative education program, an education center, a skill center, a dropout prevention program, or another public or private educational program, or recommending to the juvenile court that a juvenile be </w:t>
      </w:r>
      <w:r>
        <w:t>((</w:t>
      </w:r>
      <w:r>
        <w:rPr>
          <w:strike/>
        </w:rPr>
        <w:t xml:space="preserve">referred to</w:t>
      </w:r>
      <w:r>
        <w:t>))</w:t>
      </w:r>
      <w:r>
        <w:rPr/>
        <w:t xml:space="preserve"> </w:t>
      </w:r>
      <w:r>
        <w:rPr>
          <w:u w:val="single"/>
        </w:rPr>
        <w:t xml:space="preserve">offered the opportunity for placement in</w:t>
      </w:r>
      <w:r>
        <w:rPr/>
        <w:t xml:space="preserve"> a HOPE center or crisis residential center</w:t>
      </w:r>
      <w:r>
        <w:rPr>
          <w:u w:val="single"/>
        </w:rPr>
        <w:t xml:space="preserve">, if appropriate</w:t>
      </w:r>
      <w:r>
        <w:rPr/>
        <w:t xml:space="preserve">.</w:t>
      </w:r>
    </w:p>
    <w:p>
      <w:pPr>
        <w:spacing w:before="0" w:after="0" w:line="408" w:lineRule="exact"/>
        <w:ind w:left="0" w:right="0" w:firstLine="576"/>
        <w:jc w:val="left"/>
      </w:pPr>
      <w:r>
        <w:rPr/>
        <w:t xml:space="preserve">(2) The legislature finds that utilization of community truancy boards is the preferred means of intervention when preliminary methods to eliminate or reduce unexcused absences as required by RCW 28A.225.020 have not been effective in securing the child's attendance at school. The legislature intends to encourage and support the development and expansion of community truancy boards. Operation of a school truancy board does not excuse a district from the obligation of filing a petition within the requirements of RCW 28A.225.015(3).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2016 c 205 s 6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w:t>
      </w:r>
      <w:r>
        <w:rPr>
          <w:u w:val="single"/>
        </w:rPr>
        <w:t xml:space="preserve">and to the office of the superintendent of public instruction</w:t>
      </w:r>
      <w:r>
        <w:rPr/>
        <w:t xml:space="preserve">,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2016 c 205 s 9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w:t>
      </w:r>
      <w:r>
        <w:rPr>
          <w:u w:val="single"/>
        </w:rPr>
        <w:t xml:space="preserve">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t>((</w:t>
      </w:r>
      <w:r>
        <w:rPr>
          <w:strike/>
        </w:rPr>
        <w:t xml:space="preserve">; or</w:t>
      </w:r>
    </w:p>
    <w:p>
      <w:pPr>
        <w:spacing w:before="0" w:after="0" w:line="408" w:lineRule="exact"/>
        <w:ind w:left="0" w:right="0" w:firstLine="576"/>
        <w:jc w:val="left"/>
      </w:pPr>
      <w:r>
        <w:rPr>
          <w:strike/>
        </w:rPr>
        <w:t xml:space="preserve">(f) Submit to a temporary placement in a crisis residential center or a HOPE center if the court determines there is an immediate health and safety concern, or a family conflict with the need for mediation</w:t>
      </w:r>
      <w:r>
        <w:t>))</w:t>
      </w:r>
      <w:r>
        <w:rPr/>
        <w:t xml:space="preserve">.</w:t>
      </w:r>
    </w:p>
    <w:p>
      <w:pPr>
        <w:spacing w:before="0" w:after="0" w:line="408" w:lineRule="exact"/>
        <w:ind w:left="0" w:right="0" w:firstLine="576"/>
        <w:jc w:val="left"/>
      </w:pPr>
      <w:r>
        <w:rPr/>
        <w:t xml:space="preserve">(2)</w:t>
      </w:r>
      <w:r>
        <w:rPr>
          <w:u w:val="single"/>
        </w:rPr>
        <w:t xml:space="preserve">(a)</w:t>
      </w:r>
      <w:r>
        <w:rPr/>
        <w:t xml:space="preserve"> If the child fails to comply with the court order, the court may </w:t>
      </w:r>
      <w:r>
        <w:rPr>
          <w:u w:val="single"/>
        </w:rPr>
        <w:t xml:space="preserve">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Nonresidential programs with intensive wraparound services; or</w:t>
      </w:r>
    </w:p>
    <w:p>
      <w:pPr>
        <w:spacing w:before="0" w:after="0" w:line="408" w:lineRule="exact"/>
        <w:ind w:left="0" w:right="0" w:firstLine="576"/>
        <w:jc w:val="left"/>
      </w:pPr>
      <w:r>
        <w:rPr>
          <w:u w:val="single"/>
        </w:rPr>
        <w:t xml:space="preserve">(iii) Other services and interventions that the court deems appropriate.</w:t>
      </w:r>
    </w:p>
    <w:p>
      <w:pPr>
        <w:spacing w:before="0" w:after="0" w:line="408" w:lineRule="exact"/>
        <w:ind w:left="0" w:right="0" w:firstLine="576"/>
        <w:jc w:val="left"/>
      </w:pPr>
      <w:r>
        <w:rPr>
          <w:u w:val="single"/>
        </w:rPr>
        <w:t xml:space="preserve">(b) If the child continues to fail to comply with the court order and the court makes a finding that other measures to secure compliance have been tried but have been unsuccessful and no less restrictive alternative is available, the court may</w:t>
      </w:r>
      <w:r>
        <w:rPr/>
        <w:t xml:space="preserve"> order the child to be subject to detention, as provided in RCW 7.21.030(2)(e)</w:t>
      </w:r>
      <w:r>
        <w:t>((</w:t>
      </w:r>
      <w:r>
        <w:rPr>
          <w:strike/>
        </w:rPr>
        <w:t xml:space="preserve">, or may impose alternatives to detention such as community restitution</w:t>
      </w:r>
      <w:r>
        <w:t>))</w:t>
      </w:r>
      <w:r>
        <w:rPr/>
        <w:t xml:space="preserv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151</w:t>
      </w:r>
      <w:r>
        <w:rPr/>
        <w:t xml:space="preserve"> and 1996 c 134 s 5 are each amended to read as follows:</w:t>
      </w:r>
    </w:p>
    <w:p>
      <w:pPr>
        <w:spacing w:before="0" w:after="0" w:line="408" w:lineRule="exact"/>
        <w:ind w:left="0" w:right="0" w:firstLine="576"/>
        <w:jc w:val="left"/>
      </w:pPr>
      <w:r>
        <w:rPr/>
        <w:t xml:space="preserve">(1) As required under subsection (2) of this section, each school shall document the actions taken under RCW 28A.225.030 and report this information to the school district superintendent who shall compile the data for all the schools in the district and prepare an annual school district report for each school year and submit the report to the superintendent of public instruction. The reports shall be made upon forms furnished by the superintendent of public instruction and shall be transmitted as determined by the superintendent of public instruction.</w:t>
      </w:r>
    </w:p>
    <w:p>
      <w:pPr>
        <w:spacing w:before="0" w:after="0" w:line="408" w:lineRule="exact"/>
        <w:ind w:left="0" w:right="0" w:firstLine="576"/>
        <w:jc w:val="left"/>
      </w:pPr>
      <w:r>
        <w:rPr/>
        <w:t xml:space="preserve">(2) The reports under subsection (1) of this section shall include:</w:t>
      </w:r>
    </w:p>
    <w:p>
      <w:pPr>
        <w:spacing w:before="0" w:after="0" w:line="408" w:lineRule="exact"/>
        <w:ind w:left="0" w:right="0" w:firstLine="576"/>
        <w:jc w:val="left"/>
      </w:pPr>
      <w:r>
        <w:rPr/>
        <w:t xml:space="preserve">(a) The number of enrolled students and the number of unexcused absences;</w:t>
      </w:r>
    </w:p>
    <w:p>
      <w:pPr>
        <w:spacing w:before="0" w:after="0" w:line="408" w:lineRule="exact"/>
        <w:ind w:left="0" w:right="0" w:firstLine="576"/>
        <w:jc w:val="left"/>
      </w:pPr>
      <w:r>
        <w:rPr/>
        <w:t xml:space="preserve">(b) Documentation of the steps taken by the school district under each subsection of RCW 28A.225.020 at the request of the superintendent of public instruction. Each year, by May 1st, the superintendent of public instruction shall select ten school districts to submit the report at the end of the following school year. The ten districts shall represent different areas of the state and be of varied sizes. In addition, the superintendent of public instruction shall require any district that fails to keep appropriate records to submit a full report to the superintendent of public instruction under this subsection. All school districts shall document steps taken under RCW 28A.225.020 in each student's record, and make those records available upon request consistent with the laws governing student records;</w:t>
      </w:r>
    </w:p>
    <w:p>
      <w:pPr>
        <w:spacing w:before="0" w:after="0" w:line="408" w:lineRule="exact"/>
        <w:ind w:left="0" w:right="0" w:firstLine="576"/>
        <w:jc w:val="left"/>
      </w:pPr>
      <w:r>
        <w:rPr/>
        <w:t xml:space="preserve">(c) The number of enrolled students with ten or more unexcused absences in a school year or five or more unexcused absences in a month during a school year;</w:t>
      </w:r>
    </w:p>
    <w:p>
      <w:pPr>
        <w:spacing w:before="0" w:after="0" w:line="408" w:lineRule="exact"/>
        <w:ind w:left="0" w:right="0" w:firstLine="576"/>
        <w:jc w:val="left"/>
      </w:pPr>
      <w:r>
        <w:rPr/>
        <w:t xml:space="preserve">(d) A description of any programs or schools developed to serve students who have had five or more unexcused absences in a month or ten in a year including information about the number of students in the program or school and the number of unexcused absences of students during and after participation in the program. The school district shall also describe any placements in an approved private nonsectarian school or program or certified program under a court order under RCW 28A.225.090; </w:t>
      </w:r>
      <w:r>
        <w:t>((</w:t>
      </w:r>
      <w:r>
        <w:rPr>
          <w:strike/>
        </w:rPr>
        <w:t xml:space="preserve">and</w:t>
      </w:r>
      <w:r>
        <w:t>))</w:t>
      </w:r>
    </w:p>
    <w:p>
      <w:pPr>
        <w:spacing w:before="0" w:after="0" w:line="408" w:lineRule="exact"/>
        <w:ind w:left="0" w:right="0" w:firstLine="576"/>
        <w:jc w:val="left"/>
      </w:pPr>
      <w:r>
        <w:rPr/>
        <w:t xml:space="preserve">(e) The number of petitions filed by a school district with the juvenile court</w:t>
      </w:r>
      <w:r>
        <w:rPr>
          <w:u w:val="single"/>
        </w:rPr>
        <w:t xml:space="preserve">; and</w:t>
      </w:r>
    </w:p>
    <w:p>
      <w:pPr>
        <w:spacing w:before="0" w:after="0" w:line="408" w:lineRule="exact"/>
        <w:ind w:left="0" w:right="0" w:firstLine="576"/>
        <w:jc w:val="left"/>
      </w:pPr>
      <w:r>
        <w:rPr>
          <w:u w:val="single"/>
        </w:rPr>
        <w:t xml:space="preserve">(f) Each instance of imposition of detention for failure to comply with a court order under RCW 28A.225.090, with a statement of the reasons for each instance of detention</w:t>
      </w:r>
      <w:r>
        <w:rPr/>
        <w:t xml:space="preserve">.</w:t>
      </w:r>
    </w:p>
    <w:p>
      <w:pPr>
        <w:spacing w:before="0" w:after="0" w:line="408" w:lineRule="exact"/>
        <w:ind w:left="0" w:right="0" w:firstLine="576"/>
        <w:jc w:val="left"/>
      </w:pPr>
      <w:r>
        <w:rPr/>
        <w:t xml:space="preserve">(3) A report required under this section shall not disclose the name or other identification of a child or parent.</w:t>
      </w:r>
    </w:p>
    <w:p>
      <w:pPr>
        <w:spacing w:before="0" w:after="0" w:line="408" w:lineRule="exact"/>
        <w:ind w:left="0" w:right="0" w:firstLine="576"/>
        <w:jc w:val="left"/>
      </w:pPr>
      <w:r>
        <w:rPr/>
        <w:t xml:space="preserve">(4) The superintendent of public instruction shall collect these reports from all school districts and prepare an annual report for each school year to be submitted to the legislature no later than December 15th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115</w:t>
      </w:r>
      <w:r>
        <w:rPr/>
        <w:t xml:space="preserve"> (Educational services</w:t>
      </w:r>
      <w:r>
        <w:rPr>
          <w:rFonts w:ascii="Times New Roman" w:hAnsi="Times New Roman"/>
        </w:rPr>
        <w:t xml:space="preserve">—</w:t>
      </w:r>
      <w:r>
        <w:rPr/>
        <w:t xml:space="preserve">Funding for children referred to community truancy board) and 1996 c 134 s 11 are each repealed.</w:t>
      </w:r>
    </w:p>
    <w:p/>
    <w:p>
      <w:pPr>
        <w:jc w:val="center"/>
      </w:pPr>
      <w:r>
        <w:rPr>
          <w:b/>
        </w:rPr>
        <w:t>--- END ---</w:t>
      </w:r>
    </w:p>
    <w:sectPr>
      <w:pgNumType w:start="1"/>
      <w:footerReference xmlns:r="http://schemas.openxmlformats.org/officeDocument/2006/relationships" r:id="Re92663a0b80a4a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88ff5b291d4840" /><Relationship Type="http://schemas.openxmlformats.org/officeDocument/2006/relationships/footer" Target="/word/footer.xml" Id="Re92663a0b80a4af6" /></Relationships>
</file>