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65b3d053d43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59</w:t>
            </w:r>
            <w:r>
              <w:t xml:space="preserve">  Nays </w:t>
              <w:t xml:space="preserve">38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Liias, Walsh, Billig, Hobbs, King, and Sheldon)</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Cooper Jones bicyclist safety advisory council; adding a new section to chapter 43.59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nation's number one "Bike Friendly State." However, people who bike encounter road safety dangers that result in severe injury and death. Bicycle ridership has significantly increased over the last ten years, and the number of injuries and fatalities are also on the rise, despite the five percent annual reduction goal. The Cooper Jones act of 1998 laid the groundwork to begin a focus on bicycle safety and education. It is the intent of the legislature that the Cooper Jones bicycle safety advisory council continue that work with a focus on a review of best practices for the reduction and eventual elimination of bicycle-related injuries and fatalities in contribution to Washington state's adoption of Target Zero.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Within amounts appropriated to the traffic safety commission, the commission must convene the Cooper Jones bicyclist safety advisory council comprised of stakeholders who have a unique interest or expertise in bicyclist and road safety.</w:t>
      </w:r>
    </w:p>
    <w:p>
      <w:pPr>
        <w:spacing w:before="0" w:after="0" w:line="408" w:lineRule="exact"/>
        <w:ind w:left="0" w:right="0" w:firstLine="576"/>
        <w:jc w:val="left"/>
      </w:pPr>
      <w:r>
        <w:rPr/>
        <w:t xml:space="preserve">(2) The purpose of the council is to review and analyze data related to bicyclist fatalities and serious injuries to identify points at which the transportation system can be improved and to identify patterns in bicyclist fatalities and serious injuries.</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An emergency medical technician from the county in which the most bicyclist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Multiple members of law enforcement who have investigated bicyclist fatalities;</w:t>
      </w:r>
    </w:p>
    <w:p>
      <w:pPr>
        <w:spacing w:before="0" w:after="0" w:line="408" w:lineRule="exact"/>
        <w:ind w:left="0" w:right="0" w:firstLine="576"/>
        <w:jc w:val="left"/>
      </w:pPr>
      <w:r>
        <w:rPr/>
        <w:t xml:space="preserve">(v) A traffic engineer;</w:t>
      </w:r>
    </w:p>
    <w:p>
      <w:pPr>
        <w:spacing w:before="0" w:after="0" w:line="408" w:lineRule="exact"/>
        <w:ind w:left="0" w:right="0" w:firstLine="576"/>
        <w:jc w:val="left"/>
      </w:pPr>
      <w:r>
        <w:rPr/>
        <w:t xml:space="preserve">(vi) A representative from the department of transportation;</w:t>
      </w:r>
    </w:p>
    <w:p>
      <w:pPr>
        <w:spacing w:before="0" w:after="0" w:line="408" w:lineRule="exact"/>
        <w:ind w:left="0" w:right="0" w:firstLine="576"/>
        <w:jc w:val="left"/>
      </w:pPr>
      <w:r>
        <w:rPr/>
        <w:t xml:space="preserve">(vii) A representative of cities, and up to two stakeholders, chosen by the council, who represent municipalities in which at least one bicyclist fatality has occurred in the previous three years;</w:t>
      </w:r>
    </w:p>
    <w:p>
      <w:pPr>
        <w:spacing w:before="0" w:after="0" w:line="408" w:lineRule="exact"/>
        <w:ind w:left="0" w:right="0" w:firstLine="576"/>
        <w:jc w:val="left"/>
      </w:pPr>
      <w:r>
        <w:rPr/>
        <w:t xml:space="preserve">(viii) A representative from a bicyclist advocacy group;</w:t>
      </w:r>
    </w:p>
    <w:p>
      <w:pPr>
        <w:spacing w:before="0" w:after="0" w:line="408" w:lineRule="exact"/>
        <w:ind w:left="0" w:right="0" w:firstLine="576"/>
        <w:jc w:val="left"/>
      </w:pPr>
      <w:r>
        <w:rPr/>
        <w:t xml:space="preserve">(ix) A transportation planner with a focus on multimodal planning;</w:t>
      </w:r>
    </w:p>
    <w:p>
      <w:pPr>
        <w:spacing w:before="0" w:after="0" w:line="408" w:lineRule="exact"/>
        <w:ind w:left="0" w:right="0" w:firstLine="576"/>
        <w:jc w:val="left"/>
      </w:pPr>
      <w:r>
        <w:rPr/>
        <w:t xml:space="preserve">(x) A public health official, researcher, or epidemiologist; and</w:t>
      </w:r>
    </w:p>
    <w:p>
      <w:pPr>
        <w:spacing w:before="0" w:after="0" w:line="408" w:lineRule="exact"/>
        <w:ind w:left="0" w:right="0" w:firstLine="576"/>
        <w:jc w:val="left"/>
      </w:pPr>
      <w:r>
        <w:rPr/>
        <w:t xml:space="preserve">(xi) A member of an academic transportation research organization, such as the transportation research board.</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 2018.</w:t>
      </w:r>
    </w:p>
    <w:p>
      <w:pPr>
        <w:spacing w:before="0" w:after="0" w:line="408" w:lineRule="exact"/>
        <w:ind w:left="0" w:right="0" w:firstLine="576"/>
        <w:jc w:val="left"/>
      </w:pPr>
      <w:r>
        <w:rPr/>
        <w:t xml:space="preserve">(5) As part of the review of bicyclist fatalities and serious injuries that occur in Washington, the council may review any available information, including accident information maintained in existing databases; statutes, rules, policies, or ordinances governing bicyclists and traffic related to the incidents; and any other relevant information. The council may make recommendations regarding changes in statutes, ordinances, rules, and policies that could improve bicyclist safety. Additionally, the council may make recommendations on how to improve traffic fatality and serious injury data quality.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bicyclist safety in accordance with recommendations made by the council.</w:t>
      </w:r>
    </w:p>
    <w:p>
      <w:pPr>
        <w:spacing w:before="0" w:after="0" w:line="408" w:lineRule="exact"/>
        <w:ind w:left="0" w:right="0" w:firstLine="576"/>
        <w:jc w:val="left"/>
      </w:pPr>
      <w:r>
        <w:rPr/>
        <w:t xml:space="preserve">(10) By December 1, 2018, the council must report to the transportation committees of the legislature on the strategies that have been deployed to improve bicyclist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t xml:space="preserve">(11) For purposes of this section:</w:t>
      </w:r>
    </w:p>
    <w:p>
      <w:pPr>
        <w:spacing w:before="0" w:after="0" w:line="408" w:lineRule="exact"/>
        <w:ind w:left="0" w:right="0" w:firstLine="576"/>
        <w:jc w:val="left"/>
      </w:pPr>
      <w:r>
        <w:rPr/>
        <w:t xml:space="preserve">(a) "Bicyclist fatality" means any death of a bicyclist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bicyclist safety advisory council.</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rPr/>
        <w:t xml:space="preserve">(12) This section expires June 30, 2019.</w:t>
      </w:r>
    </w:p>
    <w:p/>
    <w:p>
      <w:pPr>
        <w:jc w:val="center"/>
      </w:pPr>
      <w:r>
        <w:rPr>
          <w:b/>
        </w:rPr>
        <w:t>--- END ---</w:t>
      </w:r>
    </w:p>
    <w:sectPr>
      <w:pgNumType w:start="1"/>
      <w:footerReference xmlns:r="http://schemas.openxmlformats.org/officeDocument/2006/relationships" r:id="R2cda7ac519ac46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a8c98da45d4dd7" /><Relationship Type="http://schemas.openxmlformats.org/officeDocument/2006/relationships/footer" Target="/word/footer.xml" Id="R2cda7ac519ac4619" /></Relationships>
</file>