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a5a69552144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5628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5628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Senators Takko, Fortunato, and Sheldon)</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84.55.092, 29A.36.071, 52.14.010, 52.14.020, and 84.09.030;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dollar amount the fire protection district will levy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city's or town's highest lawful levy for the purposes of RCW 84.55.092, reduced by the fire protection district's levy amount from (b)(i) of this subsection. This reduced highest lawful levy becomes the city's or town's highest lawful levy since 1986 for subsequent levy limit calculations under chapter 84.55 RCW; and</w:t>
      </w:r>
    </w:p>
    <w:p>
      <w:pPr>
        <w:spacing w:before="0" w:after="0" w:line="408" w:lineRule="exact"/>
        <w:ind w:left="0" w:right="0" w:firstLine="576"/>
        <w:jc w:val="left"/>
      </w:pPr>
      <w:r>
        <w:rPr/>
        <w:t xml:space="preserve">(iii) The estimated aggregate net dollar amount impact on property owners within the city or town based on the changes described in (b)(i) and (ii) of this subsection (1).</w:t>
      </w:r>
    </w:p>
    <w:p>
      <w:pPr>
        <w:spacing w:before="0" w:after="0" w:line="408" w:lineRule="exact"/>
        <w:ind w:left="0" w:right="0" w:firstLine="576"/>
        <w:jc w:val="left"/>
      </w:pPr>
      <w:r>
        <w:rPr/>
        <w:t xml:space="preserve">(c)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(d)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If a resolution forming a fire protection district provides that the fire protection district will be governed by a board of fire commissioners, as permitted under section 6 of this act, then the initial fire commissioners must be elected at the same election where the resolution is submitted to the voters authorizing the creation of the fire protection district. The election must be held at the next general election date, according to RCW 29A.04.321 and 29A.04.330, occurring after the date of the public hearing on the resolution adopted by the city or town legislative authority.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0" w:after="0" w:line="408" w:lineRule="exact"/>
        <w:ind w:left="0" w:right="0" w:firstLine="576"/>
        <w:jc w:val="left"/>
      </w:pPr>
      <w:r>
        <w:rPr/>
        <w:t xml:space="preserve">(d) Nothing contained in this chapter may be construed to alter a municipal airport fire department or affect any powers authorized under RCW 14.08.120(2). If a question arises as to whether this chapter modifies the affairs of municipal airports in any way, the answer is no.</w:t>
      </w:r>
    </w:p>
    <w:p>
      <w:pPr>
        <w:spacing w:before="0" w:after="0" w:line="408" w:lineRule="exact"/>
        <w:ind w:left="0" w:right="0" w:firstLine="576"/>
        <w:jc w:val="left"/>
      </w:pPr>
      <w:r>
        <w:rPr/>
        <w:t xml:space="preserve">(3) A city or town must reduce its general fund regular property tax levy by the total combined levy of the fire protection district as proposed by the district in accordance with subsection (1)(b)(i) of this section. The reduced levy amount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 by the amount of such levy or levies initially imposed in a subsequent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fire protection district may establish an ambulance service to be operated as a public utility. However, the fire protection district may not provide for the establishment of an ambulance service utility that would compete with any existing private ambulance service unless the fire protection district determines that the area served by the fire protection district, or a substantial portion of that area, is not adequately served by an existing private ambulance service.</w:t>
      </w:r>
    </w:p>
    <w:p>
      <w:pPr>
        <w:spacing w:before="0" w:after="0" w:line="408" w:lineRule="exact"/>
        <w:ind w:left="0" w:right="0" w:firstLine="576"/>
        <w:jc w:val="left"/>
      </w:pPr>
      <w:r>
        <w:rPr/>
        <w:t xml:space="preserve">(2) In determining the adequacy of an existing private ambulance service, the fire protection district must take into consideration objective generally accepted medical standards and reasonable levels of service, which must be published by the fire protection district. If a fire protection district makes a preliminary conclusion that an existing private ambulance service is inadequate, the fire protection district must allow a minimum of sixty days for the private ambulance service to meet the generally accepted medical standards and accepted levels of service. If the fire protection district makes a second preliminary conclusion of inadequacy within a twenty-four month period, the fire protection district may immediately issue a call for bids or establish its own ambulance service utility and is not required to afford the private ambulance service another sixty-day period to meet the generally accepted medical standards and reasonable levels of service.</w:t>
      </w:r>
    </w:p>
    <w:p>
      <w:pPr>
        <w:spacing w:before="0" w:after="0" w:line="408" w:lineRule="exact"/>
        <w:ind w:left="0" w:right="0" w:firstLine="576"/>
        <w:jc w:val="left"/>
      </w:pPr>
      <w:r>
        <w:rPr/>
        <w:t xml:space="preserve">(3) A private ambulance service that is not licensed by the department of health, or has had its license denied, suspended, or revoked, is not entitled to a sixty-day period to demonstrate adequacy, and the fire protection district may immediately issue a call for bids or establish an ambulance service utility.</w:t>
      </w:r>
    </w:p>
    <w:p>
      <w:pPr>
        <w:spacing w:before="0" w:after="0" w:line="408" w:lineRule="exact"/>
        <w:ind w:left="0" w:right="0" w:firstLine="576"/>
        <w:jc w:val="left"/>
      </w:pPr>
      <w:r>
        <w:rPr/>
        <w:t xml:space="preserve">(4) A private ambulance service that abandons service in the area served by the fire protection district, or a substantial portion of the area served by the fire protection district, is not entitled to a sixty-day period to demonstrate adequacy, and the fire protection district may immediately issue a call for bids or establish an ambulance service utility. If a fire protection district becomes aware of an intent to abandon service at a future date, the fire protection district may immediately issue a call for bids or establish an ambulance service utility to avoid an interruption in service.</w:t>
      </w:r>
    </w:p>
    <w:p>
      <w:pPr>
        <w:spacing w:before="0" w:after="0" w:line="408" w:lineRule="exact"/>
        <w:ind w:left="0" w:right="0" w:firstLine="576"/>
        <w:jc w:val="left"/>
      </w:pPr>
      <w:r>
        <w:rPr/>
        <w:t xml:space="preserve">(5) For purposes of this section, "fire protection district" means a fire protection district established by the legislative authority of a city or town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members of the legislative authority of a city or town shall serve ex officio, by virtue of their office, as the fire commissioners of a fire protection district created under section 1 of this act.</w:t>
      </w:r>
    </w:p>
    <w:p>
      <w:pPr>
        <w:spacing w:before="0" w:after="0" w:line="408" w:lineRule="exact"/>
        <w:ind w:left="0" w:right="0" w:firstLine="576"/>
        <w:jc w:val="left"/>
      </w:pPr>
      <w:r>
        <w:rPr/>
        <w:t xml:space="preserve">(2) The legislative authority of a city or town may, within the initial resolution establishing the district's formation, relinquish governance authority of a fire protection district created under this act to an independently elected board of commissioners to be elected in accordance with RCW 52.14.060.</w:t>
      </w:r>
    </w:p>
    <w:p>
      <w:pPr>
        <w:spacing w:before="0" w:after="0" w:line="408" w:lineRule="exact"/>
        <w:ind w:left="0" w:right="0" w:firstLine="576"/>
        <w:jc w:val="left"/>
      </w:pPr>
      <w:r>
        <w:rPr/>
        <w:t xml:space="preserve">(3)(a) The legislative authority of a city or town may, by a majority vote of its members in an open public meeting, relinquish governance authority of a fire protection district created under this act to an appointed board of three fire commissioners at any time after formation. Each appointed commissioner serves until successors are elected at the next qualified election.</w:t>
      </w:r>
    </w:p>
    <w:p>
      <w:pPr>
        <w:spacing w:before="0" w:after="0" w:line="408" w:lineRule="exact"/>
        <w:ind w:left="0" w:right="0" w:firstLine="576"/>
        <w:jc w:val="left"/>
      </w:pPr>
      <w:r>
        <w:rPr/>
        <w:t xml:space="preserve">At the next qualified election, the person who receives the greatest number of votes for each commissioner position is elected to that position. The terms of office for the initial elected fire commissioners are staggered as follows:</w:t>
      </w:r>
    </w:p>
    <w:p>
      <w:pPr>
        <w:spacing w:before="0" w:after="0" w:line="408" w:lineRule="exact"/>
        <w:ind w:left="0" w:right="0" w:firstLine="576"/>
        <w:jc w:val="left"/>
      </w:pPr>
      <w:r>
        <w:rPr/>
        <w:t xml:space="preserve">(i) The person who is elected receiving the greatest number of votes is elected to a six-year term of office if the election is held in an odd-numbered year, or a five-year term of office if the election is held in an even-numbered year;</w:t>
      </w:r>
    </w:p>
    <w:p>
      <w:pPr>
        <w:spacing w:before="0" w:after="0" w:line="408" w:lineRule="exact"/>
        <w:ind w:left="0" w:right="0" w:firstLine="576"/>
        <w:jc w:val="left"/>
      </w:pPr>
      <w:r>
        <w:rPr/>
        <w:t xml:space="preserve">(ii) The person who is elected receiving the next greatest number of votes is elected to a four-year term of office if the election is held in an odd-numbered year, or a three-year term of office if the election is held in an even-numbered year; and </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(b) If the legislative authority of a city or town relinquishes governance authority of a fire protection district after formation under this section, and that fire protection district maintains a fire department consisting wholly of personnel employed on a full-time, fully paid basis, that district shall have five fire commissioners. The terms of office for the initial elected fire commissioners are staggered as follows:</w:t>
      </w:r>
    </w:p>
    <w:p>
      <w:pPr>
        <w:spacing w:before="0" w:after="0" w:line="408" w:lineRule="exact"/>
        <w:ind w:left="0" w:right="0" w:firstLine="576"/>
        <w:jc w:val="left"/>
      </w:pPr>
      <w:r>
        <w:rPr/>
        <w:t xml:space="preserve">(i) The two people elected receiving the two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(c) If the legislative authority of a city or town relinquishes governance authority of a fire protection district after formation under this section, and that fire protection district has an annual budget of ten million dollars or more, that district must have seven fire commissioners. The terms of office for the initial elected fire commissioners are staggered as follows:</w:t>
      </w:r>
    </w:p>
    <w:p>
      <w:pPr>
        <w:spacing w:before="0" w:after="0" w:line="408" w:lineRule="exact"/>
        <w:ind w:left="0" w:right="0" w:firstLine="576"/>
        <w:jc w:val="left"/>
      </w:pPr>
      <w:r>
        <w:rPr/>
        <w:t xml:space="preserve">(i) The three people who are elected receiving the three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two people who are elected are elected to two-year terms of office if the election is held in an odd-numbered year, or one-year terms of office if the election is held in an even-numbered year. The term of office for each subsequent commissioner is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6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2012 c 186 s 17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and (d)</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u w:val="single"/>
        </w:rPr>
        <w:t xml:space="preserve">(d) The boundaries of a newly established fire protection district authorized under section 1 of this act are the established official boundaries of the district as of the date that the voter-approved proposition required under section 1 of this act is certified.</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
      <w:pPr>
        <w:jc w:val="center"/>
      </w:pPr>
      <w:r>
        <w:rPr>
          <w:b/>
        </w:rPr>
        <w:t>--- END ---</w:t>
      </w:r>
    </w:p>
    <w:sectPr>
      <w:pgNumType w:start="1"/>
      <w:footerReference xmlns:r="http://schemas.openxmlformats.org/officeDocument/2006/relationships" r:id="Rf228b80e2de947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0543c5617547ef" /><Relationship Type="http://schemas.openxmlformats.org/officeDocument/2006/relationships/footer" Target="/word/footer.xml" Id="Rf228b80e2de9470a" /></Relationships>
</file>