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fea15ba98e4e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5779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Brown and O'Ban)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health integration in primary care; amending RCW 74.09.010, 74.09.495, and 70.320.020; adding new sections to chapter 74.09 RCW; creating a new section; repealing RCW 18.205.040; and providing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transformation in Washington state requires a multifaceted approach to implement sustainable solutions for the integration of behavioral and physical health. Effective integration requires a holistic approach and cannot be limited to one strategy or model. Bidirectional integration of primary care and behavioral health is a foundational strategy to reduce health disparities and provide better care coordination for patients regardless of where they choose to receive care.</w:t>
      </w:r>
    </w:p>
    <w:p>
      <w:pPr>
        <w:spacing w:before="0" w:after="0" w:line="408" w:lineRule="exact"/>
        <w:ind w:left="0" w:right="0" w:firstLine="576"/>
        <w:jc w:val="left"/>
      </w:pPr>
      <w:r>
        <w:rPr/>
        <w:t xml:space="preserve">An important component to health care integration supported both by research and experience in Washington is primary care behavioral health, a model in which behavioral health providers, sometimes called behavioral health consultants, are fully integrated in primary care. The primary care behavioral health model originated more than two decades ago, has become standard practice nationally in patient centered medical homes, and has been endorsed as a viable integration strategy by Washington's Dr. Robert J. Bree Collaborative.</w:t>
      </w:r>
    </w:p>
    <w:p>
      <w:pPr>
        <w:spacing w:before="0" w:after="0" w:line="408" w:lineRule="exact"/>
        <w:ind w:left="0" w:right="0" w:firstLine="576"/>
        <w:jc w:val="left"/>
      </w:pPr>
      <w:r>
        <w:rPr/>
        <w:t xml:space="preserve">Primary care settings are a gateway for many individuals with behavioral health and primary care needs. An estimated one in four primary care patients have an identifiable behavioral health need and as many as seventy percent of primary care visits are impacted by a psychosocial component. A behavioral health consultant engages primary care patients and their caregivers on the same day as a medical visit, often in the same exam room. This warm hand-off approach fosters coordinated whole-person care, increases access to behavioral health services, and reduces stigma and cultural barriers in a cost-effective manner. Patients are provided evidence-based brief interventions and skills training, with more severe needs being effectively engaged, assessed, and referred to appropriate specialized care.</w:t>
      </w:r>
    </w:p>
    <w:p>
      <w:pPr>
        <w:spacing w:before="0" w:after="0" w:line="408" w:lineRule="exact"/>
        <w:ind w:left="0" w:right="0" w:firstLine="576"/>
        <w:jc w:val="left"/>
      </w:pPr>
      <w:r>
        <w:rPr/>
        <w:t xml:space="preserve">While the benefits of primary care behavioral health are not restricted to children, the primary care behavioral health model also provides a unique opportunity to engage children who have a strong relationship with primary care, identify problems early, and assure healthy development. Investment in primary care behavioral health creates opportunities for prevention and early detection that pay dividends throughout the life cycle.</w:t>
      </w:r>
    </w:p>
    <w:p>
      <w:pPr>
        <w:spacing w:before="0" w:after="0" w:line="408" w:lineRule="exact"/>
        <w:ind w:left="0" w:right="0" w:firstLine="576"/>
        <w:jc w:val="left"/>
      </w:pPr>
      <w:r>
        <w:rPr/>
        <w:t xml:space="preserve">The legislature also recognizes that for individuals with more complex behavioral health disorders, there are tremendous barriers to accessing primary care. Whole-person care in behavioral health is an evidence-based model for integrating primary care into behavioral health settings where these patients already receive care. Health disparities among people with behavioral health disorders have been well-documented for decades. People with serious mental illness or substance use disorders continue to experience multiple chronic health conditions and dramatically reduced life expectancy while also constituting one of the highest-cost and highest-risk populations. Two-thirds of premature deaths are due to preventable or treatable medical conditions such as cardiovascular, pulmonary, and infectious diseases, and forty-four percent of all cigarettes consumed nationally are smoked by people with serious mental illness.</w:t>
      </w:r>
    </w:p>
    <w:p>
      <w:pPr>
        <w:spacing w:before="0" w:after="0" w:line="408" w:lineRule="exact"/>
        <w:ind w:left="0" w:right="0" w:firstLine="576"/>
        <w:jc w:val="left"/>
      </w:pPr>
      <w:r>
        <w:rPr/>
        <w:t xml:space="preserve">The whole-person care in behavioral health model allows behavioral health providers to take responsibility for managing the full array of physical health needs, providing routine basic health screening, and ensuring integrated primary care by actively coordinating with or providing on-site primary care services.</w:t>
      </w:r>
    </w:p>
    <w:p>
      <w:pPr>
        <w:spacing w:before="0" w:after="0" w:line="408" w:lineRule="exact"/>
        <w:ind w:left="0" w:right="0" w:firstLine="576"/>
        <w:jc w:val="left"/>
      </w:pPr>
      <w:r>
        <w:rPr/>
        <w:t xml:space="preserve">Providers in Washington need guidance on how to effectively implement bidirectional integration models in a manner that is also financially sustainable. Payment methodologies must be scrutinized to remove nonessential restrictions and limitations that restrict the scope of practice of behavioral health professionals, impede same-day billing for behavioral health and primary care services, abet billing errors, and stymie innovation that supports wellness and health integration.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supervising psychiatrist, psychiatric nurses, mental health counselors, social workers, chemical dependency professionals, chemical dependency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supervising psychiatrist, psychiatric nurses, mental health counselors, social workers, substance use disorder professionals, substance use disorder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and each behavioral health organization to develop and maintain adequate capacity to facilitate child mental health treatment services in the community or transfers to a behavioral health organization, depending on the level of required care. Managed health care systems and behavioral health organizations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2013 2nd sp.s. c 10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w:t>
      </w:r>
      <w:r>
        <w:rPr>
          <w:u w:val="single"/>
        </w:rPr>
        <w:t xml:space="preserve">"Bidirectional integration" means integrating behavioral health services into primary care settings and integrating primary care services into behavioral health settings.</w:t>
      </w:r>
    </w:p>
    <w:p>
      <w:pPr>
        <w:spacing w:before="0" w:after="0" w:line="408" w:lineRule="exact"/>
        <w:ind w:left="0" w:right="0" w:firstLine="576"/>
        <w:jc w:val="left"/>
      </w:pPr>
      <w:r>
        <w:rPr>
          <w:u w:val="single"/>
        </w:rPr>
        <w:t xml:space="preserve">(3)</w:t>
      </w:r>
      <w:r>
        <w:rPr/>
        <w:t xml:space="preserve">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"County" means the board of county commissioners, county council, county executive, or tribal jurisdiction,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of health" means the Washington state department of health created pursuant to RCW 43.70.020.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the Washington state health care authority.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"Internal management" means the administration of medical assistance, medical care services, the children's health program, and the limited casualty program.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"Nursing home" means nursing home as defined in RCW 18.51.010.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"Poverty" means the federal poverty level determined annually by the United States department of health and human services, or successor agency.</w:t>
      </w:r>
    </w:p>
    <w:p>
      <w:pPr>
        <w:spacing w:before="0" w:after="0" w:line="408" w:lineRule="exact"/>
        <w:ind w:left="0" w:right="0" w:firstLine="576"/>
        <w:jc w:val="left"/>
      </w:pPr>
      <w:r>
        <w:t>((</w:t>
      </w:r>
      <w:r>
        <w:rPr>
          <w:strike/>
        </w:rPr>
        <w:t xml:space="preserve">(18)</w:t>
      </w:r>
      <w:r>
        <w:t>))</w:t>
      </w:r>
      <w:r>
        <w:rPr/>
        <w:t xml:space="preserve"> </w:t>
      </w:r>
      <w:r>
        <w:rPr>
          <w:u w:val="single"/>
        </w:rPr>
        <w:t xml:space="preserve">(19) "Primary care behavioral health" means a health care integration model in which behavioral health care is colocated, collaborative, and integrated within a primary care setting.</w:t>
      </w:r>
    </w:p>
    <w:p>
      <w:pPr>
        <w:spacing w:before="0" w:after="0" w:line="408" w:lineRule="exact"/>
        <w:ind w:left="0" w:right="0" w:firstLine="576"/>
        <w:jc w:val="left"/>
      </w:pPr>
      <w:r>
        <w:rPr>
          <w:u w:val="single"/>
        </w:rPr>
        <w:t xml:space="preserve">(20)</w:t>
      </w:r>
      <w:r>
        <w:rPr/>
        <w:t xml:space="preserve"> "Primary care provider" means a general practice physician, family practitioner, internist, pediatrician, </w:t>
      </w:r>
      <w:r>
        <w:t>((</w:t>
      </w:r>
      <w:r>
        <w:rPr>
          <w:strike/>
        </w:rPr>
        <w:t xml:space="preserve">osteopath</w:t>
      </w:r>
      <w:r>
        <w:t>))</w:t>
      </w:r>
      <w:r>
        <w:rPr/>
        <w:t xml:space="preserve"> </w:t>
      </w:r>
      <w:r>
        <w:rPr>
          <w:u w:val="single"/>
        </w:rPr>
        <w:t xml:space="preserve">osteopathic physician</w:t>
      </w:r>
      <w:r>
        <w:rPr/>
        <w:t xml:space="preserve">, naturopath, physician assistant, osteopathic physician assistant, and advanced registered nurse practitioner licensed under Title 18 RCW.</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"Secretary" means the secretary of social and health services.</w:t>
      </w:r>
    </w:p>
    <w:p>
      <w:pPr>
        <w:spacing w:before="0" w:after="0" w:line="408" w:lineRule="exact"/>
        <w:ind w:left="0" w:right="0" w:firstLine="576"/>
        <w:jc w:val="left"/>
      </w:pPr>
      <w:r>
        <w:rPr>
          <w:u w:val="single"/>
        </w:rPr>
        <w:t xml:space="preserve">(22) "Whole-person care in behavioral health" means a health care integration model in which primary care services are integrated into a behavioral health setting either through colocation or community-based care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2016 c 96 s 3 are each amended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rPr>
          <w:u w:val="single"/>
        </w:rPr>
        <w:t xml:space="preserve">(1)</w:t>
      </w:r>
      <w:r>
        <w:rPr/>
        <w:t xml:space="preserve"> At a minimum, the report must include the following components broken down by age, gender, and race and ethnicity: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percentage of health plan members with an identified mental health need who received mental health services during the reporting period;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percentage of children served by behavioral health organizations, including the types of services provided.</w:t>
      </w:r>
    </w:p>
    <w:p>
      <w:pPr>
        <w:spacing w:before="0" w:after="0" w:line="408" w:lineRule="exact"/>
        <w:ind w:left="0" w:right="0" w:firstLine="576"/>
        <w:jc w:val="left"/>
      </w:pPr>
      <w:r>
        <w:rPr>
          <w:u w:val="single"/>
        </w:rPr>
        <w:t xml:space="preserve">(2) The report must also include the number of children's mental health providers available in the previous year, the languages spoken by those providers, and the overall percentage of children's mental health providers who were actively accepting new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in order to increase the availability of behavioral health services and incentivize adoption of the primary care behavioral health model, the authority must establish a methodology and rate which provides increased reimbursement to providers for behavioral health services provided to patients in primary care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020</w:t>
      </w:r>
      <w:r>
        <w:rPr/>
        <w:t xml:space="preserve"> and 2014 c 225 s 107 are each amended to read as follows:</w:t>
      </w:r>
    </w:p>
    <w:p>
      <w:pPr>
        <w:spacing w:before="0" w:after="0" w:line="408" w:lineRule="exact"/>
        <w:ind w:left="0" w:right="0" w:firstLine="576"/>
        <w:jc w:val="left"/>
      </w:pPr>
      <w:r>
        <w:rPr/>
        <w:t xml:space="preserve">(1) The authority and the department shall base contract performance measures developed under RCW 70.320.030 on the following outcomes when contracting with service contracting entities: Improvements in client health status and wellness; increases in client participation in meaningful activities; reductions in client involvement with criminal justice systems; reductions in avoidable costs in hospitals, emergency rooms, crisis services, and jails and prisons; increases in stable housing in the community; improvements in client satisfaction with quality of life; and reductions in population-level health disparities.</w:t>
      </w:r>
    </w:p>
    <w:p>
      <w:pPr>
        <w:spacing w:before="0" w:after="0" w:line="408" w:lineRule="exact"/>
        <w:ind w:left="0" w:right="0" w:firstLine="576"/>
        <w:jc w:val="left"/>
      </w:pPr>
      <w:r>
        <w:rPr/>
        <w:t xml:space="preserve">(2) The performance measures must demonstrate the manner in which the following principles are achieved within each of the outcomes under subsection (1) of this section:</w:t>
      </w:r>
    </w:p>
    <w:p>
      <w:pPr>
        <w:spacing w:before="0" w:after="0" w:line="408" w:lineRule="exact"/>
        <w:ind w:left="0" w:right="0" w:firstLine="576"/>
        <w:jc w:val="left"/>
      </w:pPr>
      <w:r>
        <w:rPr/>
        <w:t xml:space="preserve">(a) Maximization of the use of evidence-based practices will be given priority over the use of research-based and promising practices, and research-based practices will be given priority over the use of promising practices. The agencies will develop strategies to identify programs that are effective with ethnically diverse clients and to consult with tribal governments, experts within ethnically diverse communities and community organizations that serve diverse communities;</w:t>
      </w:r>
    </w:p>
    <w:p>
      <w:pPr>
        <w:spacing w:before="0" w:after="0" w:line="408" w:lineRule="exact"/>
        <w:ind w:left="0" w:right="0" w:firstLine="576"/>
        <w:jc w:val="left"/>
      </w:pPr>
      <w:r>
        <w:rPr/>
        <w:t xml:space="preserve">(b) The maximization of the client's independence, recovery, and employment;</w:t>
      </w:r>
    </w:p>
    <w:p>
      <w:pPr>
        <w:spacing w:before="0" w:after="0" w:line="408" w:lineRule="exact"/>
        <w:ind w:left="0" w:right="0" w:firstLine="576"/>
        <w:jc w:val="left"/>
      </w:pPr>
      <w:r>
        <w:rPr/>
        <w:t xml:space="preserve">(c) The maximization of the client's participation in treatment decisions; and</w:t>
      </w:r>
    </w:p>
    <w:p>
      <w:pPr>
        <w:spacing w:before="0" w:after="0" w:line="408" w:lineRule="exact"/>
        <w:ind w:left="0" w:right="0" w:firstLine="576"/>
        <w:jc w:val="left"/>
      </w:pPr>
      <w:r>
        <w:rPr/>
        <w:t xml:space="preserve">(d) The collaboration between consumer-based support programs in providing services to the client.</w:t>
      </w:r>
    </w:p>
    <w:p>
      <w:pPr>
        <w:spacing w:before="0" w:after="0" w:line="408" w:lineRule="exact"/>
        <w:ind w:left="0" w:right="0" w:firstLine="576"/>
        <w:jc w:val="left"/>
      </w:pPr>
      <w:r>
        <w:rPr/>
        <w:t xml:space="preserve">(3) In developing performance measures under RCW 70.320.030, the authority and the department shall consider expected outcomes relevant to the general populations that each agency serves. The authority and the department may adapt the outcomes to account for the unique needs and characteristics of discrete subcategories of populations receiving services, including ethnically diverse communities.</w:t>
      </w:r>
    </w:p>
    <w:p>
      <w:pPr>
        <w:spacing w:before="0" w:after="0" w:line="408" w:lineRule="exact"/>
        <w:ind w:left="0" w:right="0" w:firstLine="576"/>
        <w:jc w:val="left"/>
      </w:pPr>
      <w:r>
        <w:rPr/>
        <w:t xml:space="preserve">(4) The authority and the department shall coordinate the establishment of the expected outcomes and the performance measures between each agency as well as each program to identify expected outcomes and performance measures that are common to the clients enrolled in multiple programs and to eliminate conflicting standards among the agencies and programs.</w:t>
      </w:r>
    </w:p>
    <w:p>
      <w:pPr>
        <w:spacing w:before="0" w:after="0" w:line="408" w:lineRule="exact"/>
        <w:ind w:left="0" w:right="0" w:firstLine="576"/>
        <w:jc w:val="left"/>
      </w:pPr>
      <w:r>
        <w:rPr/>
        <w:t xml:space="preserve">(5)(a) The authority and the department shall establish timelines and mechanisms for service contracting entities to report data related to performance measures and outcomes, including phased implementation of public reporting of outcome and performance measures in a form that allows for comparison of performance measures and levels of improvement between geographic regions of Washington.</w:t>
      </w:r>
    </w:p>
    <w:p>
      <w:pPr>
        <w:spacing w:before="0" w:after="0" w:line="408" w:lineRule="exact"/>
        <w:ind w:left="0" w:right="0" w:firstLine="576"/>
        <w:jc w:val="left"/>
      </w:pPr>
      <w:r>
        <w:rPr/>
        <w:t xml:space="preserve">(b) The authority and the department may not release any public reports of client outcomes unless the data </w:t>
      </w:r>
      <w:r>
        <w:t>((</w:t>
      </w:r>
      <w:r>
        <w:rPr>
          <w:strike/>
        </w:rPr>
        <w:t xml:space="preserve">have [has]</w:t>
      </w:r>
      <w:r>
        <w:t>))</w:t>
      </w:r>
      <w:r>
        <w:rPr/>
        <w:t xml:space="preserve"> </w:t>
      </w:r>
      <w:r>
        <w:rPr>
          <w:u w:val="single"/>
        </w:rPr>
        <w:t xml:space="preserve">has</w:t>
      </w:r>
      <w:r>
        <w:rPr/>
        <w:t xml:space="preserve"> been deidentified and aggregated in such a way that the identity of individual clients cannot be determined through directly identifiable data or the combination of multiple data elements.</w:t>
      </w:r>
    </w:p>
    <w:p>
      <w:pPr>
        <w:spacing w:before="0" w:after="0" w:line="408" w:lineRule="exact"/>
        <w:ind w:left="0" w:right="0" w:firstLine="576"/>
        <w:jc w:val="left"/>
      </w:pPr>
      <w:r>
        <w:rPr>
          <w:u w:val="single"/>
        </w:rPr>
        <w:t xml:space="preserve">(6) The authority and department must establish a performance measure to be integrated into the statewide common measure set which tracks effective integration practices of behavioral health services in primary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040</w:t>
      </w:r>
      <w:r>
        <w:rPr/>
        <w:t xml:space="preserve"> (Use of title) and 2014 c 225 s 108, 2008 c 135 s 17, &amp; 1998 c 243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Engrossed Substitute House Bill No. 1340 (including any later amendments or substitutes) is not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Engrossed Substitute House Bill No. 1340 (including any later amendments or substitutes) is signed into law by the governor by the effective date of this section.</w:t>
      </w:r>
    </w:p>
    <w:p/>
    <w:p>
      <w:pPr>
        <w:jc w:val="center"/>
      </w:pPr>
      <w:r>
        <w:rPr>
          <w:b/>
        </w:rPr>
        <w:t>--- END ---</w:t>
      </w:r>
    </w:p>
    <w:sectPr>
      <w:pgNumType w:start="1"/>
      <w:footerReference xmlns:r="http://schemas.openxmlformats.org/officeDocument/2006/relationships" r:id="Rf0eae018a4a84b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dd03aec1e2423a" /><Relationship Type="http://schemas.openxmlformats.org/officeDocument/2006/relationships/footer" Target="/word/footer.xml" Id="Rf0eae018a4a84bf2" /></Relationships>
</file>