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3e904e38944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5939</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July 1,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 2017</w:t>
            </w:r>
          </w:p>
          <w:p>
            <w:pPr>
              <w:ind w:left="0" w:right="0" w:firstLine="360"/>
            </w:pPr>
            <w:r>
              <w:t xml:space="preserve">Yeas </w:t>
              <w:t xml:space="preserve">74</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5939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5939</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Senators Ericksen and Palumbo)</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new sections to chapter 80.28 RCW; adding a new section to chapter 43.180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2021, at which point the legislature expects that the state's renewable energy industry will be capable of sustained growth and vitality without the cost recovery incentive.</w:t>
      </w:r>
      <w:r>
        <w:rPr/>
        <w:t xml:space="preserve"> The legislature intends for the program to balance the deployment of community solar and shared commercial solar projects in order to support participation in renewable energy generation, and that deployment of community solar projects is balanced among eligible utilities, nonprofits, and local housing authorities, as doing so will support maximum deployment of renewable energy generation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6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6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6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 6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RCW 82.16.130 and persons receiving the incentive payments created in section 6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2017,</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The department may not accept certifications submitted to the department under (a) of this subsection after September 30, 2017.</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2017,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2017, except as provided in subsections (10) through (12) of this section</w:t>
      </w:r>
      <w:r>
        <w:rPr/>
        <w:t xml:space="preserve">.</w:t>
      </w:r>
    </w:p>
    <w:p>
      <w:pPr>
        <w:spacing w:before="0" w:after="0" w:line="408" w:lineRule="exact"/>
        <w:ind w:left="0" w:right="0" w:firstLine="576"/>
        <w:jc w:val="left"/>
      </w:pPr>
      <w:r>
        <w:rPr>
          <w:u w:val="single"/>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u w:val="single"/>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u w:val="single"/>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u w:val="single"/>
        </w:rPr>
        <w:t xml:space="preserve">(12)(a) The Washington State University extension energy program must establish an application process and form by which to collect the system operation data described in section 6(7)(a)(iii) of this act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u w:val="single"/>
        </w:rPr>
        <w:t xml:space="preserve">(b) Beginning July 1, 2018, the Washington State University extension energy program must, in a form and manner that is consistent with the roles and processes established under section 6 (19) and (20) of this act, calculate for the year and provide to the utility the amount of the incentive payment due to each participant under subsection (11)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w:t>
      </w:r>
      <w:r>
        <w:t>((</w:t>
      </w:r>
      <w:r>
        <w:rPr>
          <w:strike/>
        </w:rPr>
        <w:t xml:space="preserve">shall be</w:t>
      </w:r>
      <w:r>
        <w:t>))</w:t>
      </w:r>
      <w:r>
        <w:rPr/>
        <w:t xml:space="preserve"> </w:t>
      </w:r>
      <w:r>
        <w:rPr>
          <w:u w:val="single"/>
        </w:rPr>
        <w:t xml:space="preserve">is</w:t>
      </w:r>
      <w:r>
        <w:rPr/>
        <w:t xml:space="preserve"> allowed a credit against taxes due under this chapter in an amount equal to </w:t>
      </w:r>
      <w:r>
        <w:t>((</w:t>
      </w:r>
      <w:r>
        <w:rPr>
          <w:strike/>
        </w:rPr>
        <w:t xml:space="preserve">investment cost recovery</w:t>
      </w:r>
      <w:r>
        <w:t>))</w:t>
      </w:r>
      <w:r>
        <w:rPr>
          <w:u w:val="single"/>
        </w:rPr>
        <w:t xml:space="preserve">:</w:t>
      </w:r>
    </w:p>
    <w:p>
      <w:pPr>
        <w:spacing w:before="0" w:after="0" w:line="408" w:lineRule="exact"/>
        <w:ind w:left="0" w:right="0" w:firstLine="576"/>
        <w:jc w:val="left"/>
      </w:pPr>
      <w:r>
        <w:rPr>
          <w:u w:val="single"/>
        </w:rPr>
        <w:t xml:space="preserve">(a) I</w:t>
      </w:r>
      <w:r>
        <w:rPr/>
        <w:t xml:space="preserve">ncentive payments made in any fiscal year under RCW 82.16.120 </w:t>
      </w:r>
      <w:r>
        <w:rPr>
          <w:u w:val="single"/>
        </w:rPr>
        <w:t xml:space="preserve">and section 6 of this act; and</w:t>
      </w:r>
    </w:p>
    <w:p>
      <w:pPr>
        <w:spacing w:before="0" w:after="0" w:line="408" w:lineRule="exact"/>
        <w:ind w:left="0" w:right="0" w:firstLine="576"/>
        <w:jc w:val="left"/>
      </w:pPr>
      <w:r>
        <w:rPr>
          <w:u w:val="single"/>
        </w:rPr>
        <w:t xml:space="preserve">(b) Any fees a utility is allowed to recover pursuant to section 6(5)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w:t>
      </w:r>
      <w:r>
        <w:rPr>
          <w:u w:val="single"/>
        </w:rPr>
        <w:t xml:space="preserve">taken</w:t>
      </w:r>
      <w:r>
        <w:rPr/>
        <w:t xml:space="preserve"> under this section for the fiscal year may not exceed </w:t>
      </w:r>
      <w:r>
        <w:rPr>
          <w:u w:val="single"/>
        </w:rPr>
        <w:t xml:space="preserve">one and</w:t>
      </w:r>
      <w:r>
        <w:rPr/>
        <w:t xml:space="preserve"> one-half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w:t>
      </w:r>
      <w:r>
        <w:t>((</w:t>
      </w:r>
      <w:r>
        <w:rPr>
          <w:strike/>
        </w:rPr>
        <w:t xml:space="preserve">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w:t>
      </w:r>
      <w:r>
        <w:t>((</w:t>
      </w:r>
      <w:r>
        <w:rPr>
          <w:strike/>
        </w:rPr>
        <w:t xml:space="preserve">shall</w:t>
      </w:r>
      <w:r>
        <w:t>))</w:t>
      </w:r>
      <w:r>
        <w:rPr/>
        <w:t xml:space="preserve"> </w:t>
      </w:r>
      <w:r>
        <w:rPr>
          <w:u w:val="single"/>
        </w:rPr>
        <w:t xml:space="preserve">may</w:t>
      </w:r>
      <w:r>
        <w:rPr/>
        <w:t xml:space="preserve">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w:t>
      </w:r>
      <w:r>
        <w:t>((</w:t>
      </w:r>
      <w:r>
        <w:rPr>
          <w:strike/>
        </w:rPr>
        <w:t xml:space="preserve">shall be</w:t>
      </w:r>
      <w:r>
        <w:t>))</w:t>
      </w:r>
      <w:r>
        <w:rPr/>
        <w:t xml:space="preserve"> </w:t>
      </w:r>
      <w:r>
        <w:rPr>
          <w:u w:val="single"/>
        </w:rPr>
        <w:t xml:space="preserve">is</w:t>
      </w:r>
      <w:r>
        <w:rPr/>
        <w:t xml:space="preserv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6(20)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w:t>
      </w:r>
      <w:r>
        <w:t>((</w:t>
      </w:r>
      <w:r>
        <w:rPr>
          <w:strike/>
        </w:rPr>
        <w:t xml:space="preserve">under this section</w:t>
      </w:r>
      <w:r>
        <w:t>))</w:t>
      </w:r>
      <w:r>
        <w:rPr/>
        <w:t xml:space="preserve"> </w:t>
      </w:r>
      <w:r>
        <w:rPr>
          <w:u w:val="single"/>
        </w:rPr>
        <w:t xml:space="preserve">for incentive payments made under RCW 82.16.120 expires June 30, 2020. Credits may not be claimed after June 30, 2021.</w:t>
      </w:r>
    </w:p>
    <w:p>
      <w:pPr>
        <w:spacing w:before="0" w:after="0" w:line="408" w:lineRule="exact"/>
        <w:ind w:left="0" w:right="0" w:firstLine="576"/>
        <w:jc w:val="left"/>
      </w:pPr>
      <w:r>
        <w:rPr>
          <w:u w:val="single"/>
        </w:rPr>
        <w:t xml:space="preserve">(7) The right to earn tax credits for incentive payments made under section 6 of this act</w:t>
      </w:r>
      <w:r>
        <w:rPr/>
        <w:t xml:space="preserve"> expires June 30, </w:t>
      </w:r>
      <w:r>
        <w:t>((</w:t>
      </w:r>
      <w:r>
        <w:rPr>
          <w:strike/>
        </w:rPr>
        <w:t xml:space="preserve">2020</w:t>
      </w:r>
      <w:r>
        <w:t>))</w:t>
      </w:r>
      <w:r>
        <w:rPr/>
        <w:t xml:space="preserve"> </w:t>
      </w:r>
      <w:r>
        <w:rPr>
          <w:u w:val="single"/>
        </w:rPr>
        <w:t xml:space="preserve">2029</w:t>
      </w:r>
      <w:r>
        <w:rPr/>
        <w:t xml:space="preserve">. Credits may not be claimed after June 30, </w:t>
      </w:r>
      <w:r>
        <w:t>((</w:t>
      </w:r>
      <w:r>
        <w:rPr>
          <w:strike/>
        </w:rPr>
        <w:t xml:space="preserve">2021</w:t>
      </w:r>
      <w:r>
        <w:t>))</w:t>
      </w:r>
      <w:r>
        <w:rPr/>
        <w:t xml:space="preserve"> </w:t>
      </w:r>
      <w:r>
        <w:rPr>
          <w:u w:val="single"/>
        </w:rPr>
        <w:t xml:space="preserve">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6 through 8 of this act unless the context clearly requires otherwise.</w:t>
      </w:r>
    </w:p>
    <w:p>
      <w:pPr>
        <w:spacing w:before="0" w:after="0" w:line="408" w:lineRule="exact"/>
        <w:ind w:left="0" w:right="0" w:firstLine="576"/>
        <w:jc w:val="left"/>
      </w:pPr>
      <w:r>
        <w:rPr/>
        <w:t xml:space="preserve">(1) "Administrator" means the utility, nonprofit, or other local housing authority that organizes and administers a community solar project as provided in sections 6 and 7 of this act.</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or a shared commercial solar project with a combined nameplate capacity greater than twelve kilowatts that meets the applicable system eligibility requirements established in section 6 of this act.</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sections 6 and 7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eight years or until cumulative incentive payments for electricity produced by the project reach fifty percent of the total system price, including applicable sales tax, whichever occurs first; and (b)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section 6 of this act.</w:t>
      </w:r>
    </w:p>
    <w:p>
      <w:pPr>
        <w:spacing w:before="0" w:after="0" w:line="408" w:lineRule="exact"/>
        <w:ind w:left="0" w:right="0" w:firstLine="576"/>
        <w:jc w:val="left"/>
      </w:pPr>
      <w:r>
        <w:rPr/>
        <w:t xml:space="preserve">(13) "Shared commercial solar project" means a solar energy system, owned or administered by an electric utility, with a combined nameplate capacity of greater than one megawatt and not more than five megawatts and meets the applicable eligibility requirements established in sections 6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2017,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section 7 of this act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section 8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this section;</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one year to retain the precertification status described in this subsection;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2018</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700" w:type="dxa"/>
            <w:vAlign w:val="top"/>
          </w:tcPr>
          <w:p>
            <w:pPr>
              <w:spacing w:before="0" w:after="0" w:line="408" w:lineRule="exact"/>
              <w:ind w:left="0" w:right="0" w:firstLine="0"/>
              <w:jc w:val="left"/>
            </w:pPr>
            <w:r>
              <w:rPr>
                <w:rFonts w:ascii="Times New Roman" w:hAnsi="Times New Roman"/>
                <w:sz w:val="20"/>
              </w:rPr>
              <w:t xml:space="preserve">$0.16</w:t>
            </w:r>
          </w:p>
        </w:tc>
        <w:tc>
          <w:tcPr>
            <w:tcW w:w="1700" w:type="dxa"/>
            <w:vAlign w:val="top"/>
          </w:tcPr>
          <w:p>
            <w:pPr>
              <w:spacing w:before="0" w:after="0" w:line="408" w:lineRule="exact"/>
              <w:ind w:left="0" w:right="0" w:firstLine="0"/>
              <w:jc w:val="left"/>
            </w:pPr>
            <w:r>
              <w:rPr>
                <w:rFonts w:ascii="Times New Roman" w:hAnsi="Times New Roman"/>
                <w:sz w:val="20"/>
              </w:rPr>
              <w:t xml:space="preserve">$0.06</w:t>
            </w:r>
          </w:p>
        </w:tc>
        <w:tc>
          <w:tcPr>
            <w:tcW w:w="1660" w:type="dxa"/>
            <w:vAlign w:val="top"/>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Pr>
          <w:p>
            <w:pPr>
              <w:spacing w:before="0" w:after="0" w:line="408" w:lineRule="exact"/>
              <w:ind w:left="0" w:right="0" w:firstLine="0"/>
              <w:jc w:val="left"/>
            </w:pPr>
            <w:r>
              <w:rPr>
                <w:rFonts w:ascii="Times New Roman" w:hAnsi="Times New Roman"/>
                <w:sz w:val="20"/>
              </w:rPr>
              <w:t xml:space="preserve">2019</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700" w:type="dxa"/>
            <w:vAlign w:val="top"/>
          </w:tcPr>
          <w:p>
            <w:pPr>
              <w:spacing w:before="0" w:after="0" w:line="408" w:lineRule="exact"/>
              <w:ind w:left="0" w:right="0" w:firstLine="0"/>
              <w:jc w:val="left"/>
            </w:pPr>
            <w:r>
              <w:rPr>
                <w:rFonts w:ascii="Times New Roman" w:hAnsi="Times New Roman"/>
                <w:sz w:val="20"/>
              </w:rPr>
              <w:t xml:space="preserve">$0.14</w:t>
            </w:r>
          </w:p>
        </w:tc>
        <w:tc>
          <w:tcPr>
            <w:tcW w:w="1700" w:type="dxa"/>
            <w:vAlign w:val="top"/>
          </w:tcPr>
          <w:p>
            <w:pPr>
              <w:spacing w:before="0" w:after="0" w:line="408" w:lineRule="exact"/>
              <w:ind w:left="0" w:right="0" w:firstLine="0"/>
              <w:jc w:val="left"/>
            </w:pPr>
            <w:r>
              <w:rPr>
                <w:rFonts w:ascii="Times New Roman" w:hAnsi="Times New Roman"/>
                <w:sz w:val="20"/>
              </w:rPr>
              <w:t xml:space="preserve">$0.04</w:t>
            </w:r>
          </w:p>
        </w:tc>
        <w:tc>
          <w:tcPr>
            <w:tcW w:w="1660" w:type="dxa"/>
            <w:vAlign w:val="top"/>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2020</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$0.12</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$0.03</w:t>
            </w:r>
          </w:p>
        </w:tc>
      </w:tr>
      <w:tr>
        <w:tc>
          <w:tcPr>
            <w:tcW w:w="1700" w:type="dxa"/>
            <w:vAlign w:val="top"/>
          </w:tcPr>
          <w:p>
            <w:pPr>
              <w:spacing w:before="0" w:after="0" w:line="408" w:lineRule="exact"/>
              <w:ind w:left="0" w:right="0" w:firstLine="0"/>
              <w:jc w:val="left"/>
            </w:pPr>
            <w:r>
              <w:rPr>
                <w:rFonts w:ascii="Times New Roman" w:hAnsi="Times New Roman"/>
                <w:sz w:val="20"/>
              </w:rPr>
              <w:t xml:space="preserve">2021</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700" w:type="dxa"/>
            <w:vAlign w:val="top"/>
          </w:tcPr>
          <w:p>
            <w:pPr>
              <w:spacing w:before="0" w:after="0" w:line="408" w:lineRule="exact"/>
              <w:ind w:left="0" w:right="0" w:firstLine="0"/>
              <w:jc w:val="left"/>
            </w:pPr>
            <w:r>
              <w:rPr>
                <w:rFonts w:ascii="Times New Roman" w:hAnsi="Times New Roman"/>
                <w:sz w:val="20"/>
              </w:rPr>
              <w:t xml:space="preserve">$0.10</w:t>
            </w:r>
          </w:p>
        </w:tc>
        <w:tc>
          <w:tcPr>
            <w:tcW w:w="1700" w:type="dxa"/>
            <w:vAlign w:val="top"/>
          </w:tcPr>
          <w:p>
            <w:pPr>
              <w:spacing w:before="0" w:after="0" w:line="408" w:lineRule="exact"/>
              <w:ind w:left="0" w:right="0" w:firstLine="0"/>
              <w:jc w:val="left"/>
            </w:pPr>
            <w:r>
              <w:rPr>
                <w:rFonts w:ascii="Times New Roman" w:hAnsi="Times New Roman"/>
                <w:sz w:val="20"/>
              </w:rPr>
              <w:t xml:space="preserve">$0.02</w:t>
            </w:r>
          </w:p>
        </w:tc>
        <w:tc>
          <w:tcPr>
            <w:tcW w:w="1660" w:type="dxa"/>
            <w:vAlign w:val="top"/>
          </w:tcPr>
          <w:p>
            <w:pPr>
              <w:spacing w:before="0" w:after="0" w:line="408" w:lineRule="exact"/>
              <w:ind w:left="0" w:right="0" w:firstLine="0"/>
              <w:jc w:val="left"/>
            </w:pPr>
            <w:r>
              <w:rPr>
                <w:rFonts w:ascii="Times New Roman" w:hAnsi="Times New Roman"/>
                <w:sz w:val="20"/>
              </w:rPr>
              <w:t xml:space="preserve">$0.02</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after June 30, 2021.</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 7 of this act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and sections 2 and 7 of this act. The department is authorized, in consultation with the Washington State University extension energy program, to adopt any rules necessary for administration or implementation of the program established under this section and section 7 of this act.</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section 6(13) of this act;</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section 7 of this act;</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 taxable power sales generated in calendar year 2014 and due under RCW 82.16.020(1)(b) or two hundred fifty thousand dollars, whichever is greater, in order to achieve the legislative intent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(9) of this section, each participant must be a customer of the utility providing service at the situs of the community solar project.</w:t>
      </w:r>
    </w:p>
    <w:p>
      <w:pPr>
        <w:spacing w:before="0" w:after="0" w:line="408" w:lineRule="exact"/>
        <w:ind w:left="0" w:right="0" w:firstLine="576"/>
        <w:jc w:val="left"/>
      </w:pPr>
      <w:r>
        <w:rPr/>
        <w:t xml:space="preserve">(3)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rPr/>
        <w:t xml:space="preserve">(6) The administrator of a community solar project must provide the information required in subsection (5) of this section to the Washington State University extension energy program at the time it submits the application allowed under section 6(1) of this act.</w:t>
      </w:r>
    </w:p>
    <w:p>
      <w:pPr>
        <w:spacing w:before="0" w:after="0" w:line="408" w:lineRule="exact"/>
        <w:ind w:left="0" w:right="0" w:firstLine="576"/>
        <w:jc w:val="left"/>
      </w:pPr>
      <w:r>
        <w:rPr/>
        <w:t xml:space="preserve">(7)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over the life of the contract;</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rPr/>
        <w:t xml:space="preserve">(9)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(10)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rPr/>
        <w:t xml:space="preserve">(11)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rPr/>
        <w:t xml:space="preserve">(12)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(13) Nothing in this section may be construed as intending to preclude persons from investing in or possessing an ownership interest in a community solar project, or from applying for and receiving federal investment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a shared commercial solar project is to provide an entry point in solar utilization by large load customers in a manner that achieves economies of scale and maximizes system performance without limitations posed by on-site systems where sun exposure is not optimal or structural and other site deficiencies preclude solar development.</w:t>
      </w:r>
    </w:p>
    <w:p>
      <w:pPr>
        <w:spacing w:before="0" w:after="0" w:line="408" w:lineRule="exact"/>
        <w:ind w:left="0" w:right="0" w:firstLine="576"/>
        <w:jc w:val="left"/>
      </w:pPr>
      <w:r>
        <w:rPr/>
        <w:t xml:space="preserve">(2) Beginning July 1, 2017, a utility may, at its discretion, organize and administer a shared commercial solar project as provided in this section.</w:t>
      </w:r>
    </w:p>
    <w:p>
      <w:pPr>
        <w:spacing w:before="0" w:after="0" w:line="408" w:lineRule="exact"/>
        <w:ind w:left="0" w:right="0" w:firstLine="576"/>
        <w:jc w:val="left"/>
      </w:pPr>
      <w:r>
        <w:rPr/>
        <w:t xml:space="preserve">(3) A shared commercial solar project must have a direct current nameplate capacity greater than one megawatt and no more than five megawatts and must have at least five participants. To receive incentive payments under section 6 of this act, each participant must be a customer of the utility providing service at the situs of the shared commercial solar project and must be located in the state of Washington.</w:t>
      </w:r>
    </w:p>
    <w:p>
      <w:pPr>
        <w:spacing w:before="0" w:after="0" w:line="408" w:lineRule="exact"/>
        <w:ind w:left="0" w:right="0" w:firstLine="576"/>
        <w:jc w:val="left"/>
      </w:pPr>
      <w:r>
        <w:rPr/>
        <w:t xml:space="preserve">(4) The administrator of a shared commercial solar project must administer the project in a transparent manner.</w:t>
      </w:r>
    </w:p>
    <w:p>
      <w:pPr>
        <w:spacing w:before="0" w:after="0" w:line="408" w:lineRule="exact"/>
        <w:ind w:left="0" w:right="0" w:firstLine="576"/>
        <w:jc w:val="left"/>
      </w:pPr>
      <w:r>
        <w:rPr/>
        <w:t xml:space="preserve">(5) The administrator of a shared commercial solar project may establish a reasonable fee to cover costs incurred in organizing and administering the shared commercial solar project. Project participants, prior to making the commitment to participate in the project, must be given clear and conspicuous notice of the fees charged by the administrator as authorized under this subsection.</w:t>
      </w:r>
    </w:p>
    <w:p>
      <w:pPr>
        <w:spacing w:before="0" w:after="0" w:line="408" w:lineRule="exact"/>
        <w:ind w:left="0" w:right="0" w:firstLine="576"/>
        <w:jc w:val="left"/>
      </w:pPr>
      <w:r>
        <w:rPr/>
        <w:t xml:space="preserve">(6) The administrator of a shared commercial solar project must submit to the Washington State University extension energy program at the time it submits an application allowed under section 6(1) of this act project design details, including project location, output capacity, equipment list, and interconnection information.</w:t>
      </w:r>
    </w:p>
    <w:p>
      <w:pPr>
        <w:spacing w:before="0" w:after="0" w:line="408" w:lineRule="exact"/>
        <w:ind w:left="0" w:right="0" w:firstLine="576"/>
        <w:jc w:val="left"/>
      </w:pPr>
      <w:r>
        <w:rPr/>
        <w:t xml:space="preserve">(7) The administrator of a shared commercial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All recurring and nonrecurring charges;</w:t>
      </w:r>
    </w:p>
    <w:p>
      <w:pPr>
        <w:spacing w:before="0" w:after="0" w:line="408" w:lineRule="exact"/>
        <w:ind w:left="0" w:right="0" w:firstLine="576"/>
        <w:jc w:val="left"/>
      </w:pPr>
      <w:r>
        <w:rPr/>
        <w:t xml:space="preserve">(b) A description of the billing and payment procedures;</w:t>
      </w:r>
    </w:p>
    <w:p>
      <w:pPr>
        <w:spacing w:before="0" w:after="0" w:line="408" w:lineRule="exact"/>
        <w:ind w:left="0" w:right="0" w:firstLine="576"/>
        <w:jc w:val="left"/>
      </w:pPr>
      <w:r>
        <w:rPr/>
        <w:t xml:space="preserve">(c) Production projections and a description of the methodology used to develop the projections;</w:t>
      </w:r>
    </w:p>
    <w:p>
      <w:pPr>
        <w:spacing w:before="0" w:after="0" w:line="408" w:lineRule="exact"/>
        <w:ind w:left="0" w:right="0" w:firstLine="576"/>
        <w:jc w:val="left"/>
      </w:pPr>
      <w:r>
        <w:rPr/>
        <w:t xml:space="preserve">(d) An estimate of the project participant's share of any incentive payment over the life of the contract;</w:t>
      </w:r>
    </w:p>
    <w:p>
      <w:pPr>
        <w:spacing w:before="0" w:after="0" w:line="408" w:lineRule="exact"/>
        <w:ind w:left="0" w:right="0" w:firstLine="576"/>
        <w:jc w:val="left"/>
      </w:pPr>
      <w:r>
        <w:rPr/>
        <w:t xml:space="preserve">(e) A description of contract terms that relate to project underperformance;</w:t>
      </w:r>
    </w:p>
    <w:p>
      <w:pPr>
        <w:spacing w:before="0" w:after="0" w:line="408" w:lineRule="exact"/>
        <w:ind w:left="0" w:right="0" w:firstLine="576"/>
        <w:jc w:val="left"/>
      </w:pPr>
      <w:r>
        <w:rPr/>
        <w:t xml:space="preserve">(f)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rPr/>
        <w:t xml:space="preserve">(8) If a utility opts to contract with a nonutility administrator to offer a shared commercial solar program, the utility must publish, without disclosing proprietary information, the name of the nonutility administrator contracted by the utility as part of its shared commercial solar program.</w:t>
      </w:r>
    </w:p>
    <w:p>
      <w:pPr>
        <w:spacing w:before="0" w:after="0" w:line="408" w:lineRule="exact"/>
        <w:ind w:left="0" w:right="0" w:firstLine="576"/>
        <w:jc w:val="left"/>
      </w:pPr>
      <w:r>
        <w:rPr/>
        <w:t xml:space="preserve">(9) In order to meet the intent of this act of promoting a sustainable, local renewable energy industry, the legislature prefers award of the majority of the installation of shared commercial solar projects be given to contractors based in Washington state. In the event the majority of the installation of a shared commercial solar project is awarded to out-of-state contractors, the administrator must submit to the Washington State University extension energy program the reasons for using out-of-state contractors, the percentage of installation work performed by out-of-state contractors, and a cost comparison of the installation services performed by out-of-state contractors against the same services performed by Washington-based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5 of this act apply to this section.</w:t>
      </w:r>
    </w:p>
    <w:p>
      <w:pPr>
        <w:spacing w:before="0" w:after="0" w:line="408" w:lineRule="exact"/>
        <w:ind w:left="0" w:right="0" w:firstLine="576"/>
        <w:jc w:val="left"/>
      </w:pPr>
      <w:r>
        <w:rPr/>
        <w:t xml:space="preserve">(3) For the purposes of this section, "solar module" has the same meaning as provided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Violations of this section may be enforced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11 of this act unless the context clearly requires otherwise.</w:t>
      </w:r>
    </w:p>
    <w:p>
      <w:pPr>
        <w:spacing w:before="0" w:after="0" w:line="408" w:lineRule="exact"/>
        <w:ind w:left="0" w:right="0" w:firstLine="576"/>
        <w:jc w:val="left"/>
      </w:pPr>
      <w:r>
        <w:rPr/>
        <w:t xml:space="preserve">(1) "Community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t xml:space="preserve">(4) "Electric utility" means a consumer-owned utility or investor-owned utility as those terms are defined in RCW 19.280.020.</w:t>
      </w:r>
    </w:p>
    <w:p>
      <w:pPr>
        <w:spacing w:before="0" w:after="0" w:line="408" w:lineRule="exact"/>
        <w:ind w:left="0" w:right="0" w:firstLine="576"/>
        <w:jc w:val="left"/>
      </w:pPr>
      <w:r>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t xml:space="preserve">(6)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community solar company may engage in business in this state except in accordance with the provisions of this chapter. Engaging in business as a community solar company includes advertising, soliciting, offering, or entering into an agreement to own a community solar project and provide community solar project services to electric utility customers.</w:t>
      </w:r>
    </w:p>
    <w:p>
      <w:pPr>
        <w:spacing w:before="0" w:after="0" w:line="408" w:lineRule="exact"/>
        <w:ind w:left="0" w:right="0" w:firstLine="576"/>
        <w:jc w:val="left"/>
      </w:pPr>
      <w:r>
        <w:rPr/>
        <w:t xml:space="preserve">(2) A community solar company must register with the commission before engaging in business in this state or applying for certification from the Washington State University extension energy program under section 6(1) of this act. Registration with the commission as a community solar company must occur on an annual basis.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company;</w:t>
      </w:r>
    </w:p>
    <w:p>
      <w:pPr>
        <w:spacing w:before="0" w:after="0" w:line="408" w:lineRule="exact"/>
        <w:ind w:left="0" w:right="0" w:firstLine="576"/>
        <w:jc w:val="left"/>
      </w:pPr>
      <w:r>
        <w:rPr/>
        <w:t xml:space="preserve">(b) The name and address of the community solar company's registered agent, if any;</w:t>
      </w:r>
    </w:p>
    <w:p>
      <w:pPr>
        <w:spacing w:before="0" w:after="0" w:line="408" w:lineRule="exact"/>
        <w:ind w:left="0" w:right="0" w:firstLine="576"/>
        <w:jc w:val="left"/>
      </w:pPr>
      <w:r>
        <w:rPr/>
        <w:t xml:space="preserve">(c) The name, address, and title of each officer or director;</w:t>
      </w:r>
    </w:p>
    <w:p>
      <w:pPr>
        <w:spacing w:before="0" w:after="0" w:line="408" w:lineRule="exact"/>
        <w:ind w:left="0" w:right="0" w:firstLine="576"/>
        <w:jc w:val="left"/>
      </w:pPr>
      <w:r>
        <w:rPr/>
        <w:t xml:space="preserve">(d) The community solar company's most current balance sheet;</w:t>
      </w:r>
    </w:p>
    <w:p>
      <w:pPr>
        <w:spacing w:before="0" w:after="0" w:line="408" w:lineRule="exact"/>
        <w:ind w:left="0" w:right="0" w:firstLine="576"/>
        <w:jc w:val="left"/>
      </w:pPr>
      <w:r>
        <w:rPr/>
        <w:t xml:space="preserve">(e) The community solar company's latest annual report, if any;</w:t>
      </w:r>
    </w:p>
    <w:p>
      <w:pPr>
        <w:spacing w:before="0" w:after="0" w:line="408" w:lineRule="exact"/>
        <w:ind w:left="0" w:right="0" w:firstLine="576"/>
        <w:jc w:val="left"/>
      </w:pPr>
      <w:r>
        <w:rPr/>
        <w:t xml:space="preserve">(f) A description of the services the community solar company offers or intends to offer, including financing models; and</w:t>
      </w:r>
    </w:p>
    <w:p>
      <w:pPr>
        <w:spacing w:before="0" w:after="0" w:line="408" w:lineRule="exact"/>
        <w:ind w:left="0" w:right="0" w:firstLine="576"/>
        <w:jc w:val="left"/>
      </w:pPr>
      <w:r>
        <w:rPr/>
        <w:t xml:space="preserve">(g)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company may collect from project participants or order that the advances or deposits be held in escrow or trust.</w:t>
      </w:r>
    </w:p>
    <w:p>
      <w:pPr>
        <w:spacing w:before="0" w:after="0" w:line="408" w:lineRule="exact"/>
        <w:ind w:left="0" w:right="0" w:firstLine="576"/>
        <w:jc w:val="left"/>
      </w:pPr>
      <w:r>
        <w:rPr/>
        <w:t xml:space="preserve">(4) The commission may deny registration to any community solar company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a community solar company an annual application fee to recover the cost of processing applications for registration under this section.</w:t>
      </w:r>
    </w:p>
    <w:p>
      <w:pPr>
        <w:spacing w:before="0" w:after="0" w:line="408" w:lineRule="exact"/>
        <w:ind w:left="0" w:right="0" w:firstLine="576"/>
        <w:jc w:val="left"/>
      </w:pPr>
      <w:r>
        <w:rPr/>
        <w:t xml:space="preserve">(7) The commission may adopt rules that describe the manner by which it will register a community solar company, ensure that the terms and conditions of community solar projects or community solar project services comply with the requirements of this act, establish the community solar company's responsibilities for responding to customer complaints and disputes, and adopt annual reporting requirements. In addition to the application fee authorized under subsection (6) of this section, the commission may adopt regulatory fees applicable to community solar companies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company or its agent has violated this chapter or the rules of the commission, or that the community solar company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companies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company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company may not be deemed otherwise permitted, prohibited, or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photovoltaic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 </w:t>
      </w:r>
      <w:r>
        <w:rPr>
          <w:b/>
        </w:rPr>
        <w:t xml:space="preserve">Definitions.</w:t>
      </w:r>
      <w:r>
        <w:rPr/>
        <w:t xml:space="preserve"> For purposes of this section the following definitions apply:</w:t>
      </w:r>
    </w:p>
    <w:p>
      <w:pPr>
        <w:spacing w:before="0" w:after="0" w:line="408" w:lineRule="exact"/>
        <w:ind w:left="0" w:right="0" w:firstLine="576"/>
        <w:jc w:val="left"/>
      </w:pPr>
      <w:r>
        <w:rPr/>
        <w:t xml:space="preserve">(a) "Consumer electronic device" means any device containing an electronic circuit board that is intended for everyday use by individuals, such as a watch or calculator.</w:t>
      </w:r>
    </w:p>
    <w:p>
      <w:pPr>
        <w:spacing w:before="0" w:after="0" w:line="408" w:lineRule="exact"/>
        <w:ind w:left="0" w:right="0" w:firstLine="576"/>
        <w:jc w:val="left"/>
      </w:pPr>
      <w:r>
        <w:rPr/>
        <w:t xml:space="preserve">(b) "Department" means the department of ecology.</w:t>
      </w:r>
    </w:p>
    <w:p>
      <w:pPr>
        <w:spacing w:before="0" w:after="0" w:line="408" w:lineRule="exact"/>
        <w:ind w:left="0" w:right="0" w:firstLine="576"/>
        <w:jc w:val="left"/>
      </w:pPr>
      <w:r>
        <w:rPr/>
        <w:t xml:space="preserve">(c)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photovoltaic module under its own brand names for sale in or into this state;</w:t>
      </w:r>
    </w:p>
    <w:p>
      <w:pPr>
        <w:spacing w:before="0" w:after="0" w:line="408" w:lineRule="exact"/>
        <w:ind w:left="0" w:right="0" w:firstLine="576"/>
        <w:jc w:val="left"/>
      </w:pPr>
      <w:r>
        <w:rPr/>
        <w:t xml:space="preserve">(ii) Assembles or has assembled a photovoltaic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photovoltaic module produced by other suppliers, including retail establishments that sell photovoltaic modules under their own brand names;</w:t>
      </w:r>
    </w:p>
    <w:p>
      <w:pPr>
        <w:spacing w:before="0" w:after="0" w:line="408" w:lineRule="exact"/>
        <w:ind w:left="0" w:right="0" w:firstLine="576"/>
        <w:jc w:val="left"/>
      </w:pPr>
      <w:r>
        <w:rPr/>
        <w:t xml:space="preserve">(iv) Manufactures or has manufactured a cobranded photovoltaic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photovoltaic module into the United States that is sold in or into this state. However, if the imported photovoltaic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photovoltaic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(d) "Photovoltaic module" means the smallest nondivisible, environmentally protected assembly of photovoltaic cells or other photovoltaic collector technology and ancillary parts intended to generate electrical power under sunlight, except that "photovoltaic module" does not include a photovoltaic cell that is part of a consumer electronic device for which it provides electricity needed to make the consumer electronic device function. "Photovoltaic module" includes but is not limited to interconnections, terminals, and protective devices such as diodes that:</w:t>
      </w:r>
    </w:p>
    <w:p>
      <w:pPr>
        <w:spacing w:before="0" w:after="0" w:line="408" w:lineRule="exact"/>
        <w:ind w:left="0" w:right="0" w:firstLine="576"/>
        <w:jc w:val="left"/>
      </w:pPr>
      <w:r>
        <w:rPr/>
        <w:t xml:space="preserve">(i) Are installed on, connected to, or integral with buildings; or</w:t>
      </w:r>
    </w:p>
    <w:p>
      <w:pPr>
        <w:spacing w:before="0" w:after="0" w:line="408" w:lineRule="exact"/>
        <w:ind w:left="0" w:right="0" w:firstLine="576"/>
        <w:jc w:val="left"/>
      </w:pPr>
      <w:r>
        <w:rPr/>
        <w:t xml:space="preserve">(ii) Are used as components of freestanding, off-grid, power generation systems, such as for powering water pumping stations, electric vehicle charging stations, fencing, street and signage lights, and other commercial or agricultural purposes.</w:t>
      </w:r>
    </w:p>
    <w:p>
      <w:pPr>
        <w:spacing w:before="0" w:after="0" w:line="408" w:lineRule="exact"/>
        <w:ind w:left="0" w:right="0" w:firstLine="576"/>
        <w:jc w:val="left"/>
      </w:pPr>
      <w:r>
        <w:rPr/>
        <w:t xml:space="preserve">(e)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(f) "Reuse" means any operation by which a photovoltaic module or a component of a photovoltaic module changes ownership and is used for the same purpose for which it was originally purchased.</w:t>
      </w:r>
    </w:p>
    <w:p>
      <w:pPr>
        <w:spacing w:before="0" w:after="0" w:line="408" w:lineRule="exact"/>
        <w:ind w:left="0" w:right="0" w:firstLine="576"/>
        <w:jc w:val="left"/>
      </w:pPr>
      <w:r>
        <w:rPr/>
        <w:t xml:space="preserve">(g)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(h)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 </w:t>
      </w:r>
      <w:r>
        <w:rPr>
          <w:b/>
        </w:rPr>
        <w:t xml:space="preserve">Program guidance, review, and approval.</w:t>
      </w:r>
      <w:r>
        <w:rPr/>
        <w:t xml:space="preserve"> The department must develop guidance for a photovoltaic module stewardship and takeback program to guide manufacturers in preparing and implementing a self-directed program to ensure the convenient, safe, and environmentally sound takeback and recycling of photovoltaic modules and their components and materials. By January 1, 2018, the department must establish a process to develop guidance for photovoltaic module stewardship plans by working with manufacturers, stewardship organizations, and other stakeholders on the content, review, and approval of stewardship plans. The department's process must be fully implemented and stewardship plan guidance completed by July 1, 2019.</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w:t>
      </w:r>
      <w:r>
        <w:rPr/>
        <w:t xml:space="preserve"> Each manufacturer must prepare and submit a stewardship plan to the department by the later of January 1, 2020, or within thirty days of its first sale of a photovoltaic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Describe how manufacturers will finance the takeback and recycling system, and include an adequate funding mechanism to finance the costs of collection, management, and recycling of photovoltaic modules and residuals sold in or into the state by the manufacturer with a mechanism that ensures that photovoltaic modules can be delivered to takeback locations without cost to the last owner or holder;</w:t>
      </w:r>
    </w:p>
    <w:p>
      <w:pPr>
        <w:spacing w:before="0" w:after="0" w:line="408" w:lineRule="exact"/>
        <w:ind w:left="0" w:right="0" w:firstLine="576"/>
        <w:jc w:val="left"/>
      </w:pPr>
      <w:r>
        <w:rPr/>
        <w:t xml:space="preserve">(ii) Accept all photovoltaic modules sold in or into the state after July 1, 2017;</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photovoltaic modules at locations that are within the region of the state in which the photovoltaic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photovoltaic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photovoltaic modules as a percentage of the total weight of photovoltaic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must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2022,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photovoltaic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 </w:t>
      </w:r>
      <w:r>
        <w:rPr>
          <w:b/>
        </w:rPr>
        <w:t xml:space="preserve">Enforcement.</w:t>
      </w:r>
      <w:r>
        <w:rPr/>
        <w:t xml:space="preserve"> Beginning January 1, 2021, no manufacturer may sell or offer for sale a photovoltaic module in or into the state unless the manufacturer has submitted to the department a stewardship plan and received plan approval. The department must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photovoltaic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photovoltaic module sales in the most recent preceding calendar year, based on best available information. The sole purpose of assessing the fees authorized in this subsection is to predictably and adequately fund the department's costs of administering the photovoltaic module recycling program.</w:t>
      </w:r>
    </w:p>
    <w:p>
      <w:pPr>
        <w:spacing w:before="0" w:after="0" w:line="408" w:lineRule="exact"/>
        <w:ind w:left="0" w:right="0" w:firstLine="576"/>
        <w:jc w:val="left"/>
      </w:pPr>
      <w:r>
        <w:rPr/>
        <w:t xml:space="preserve">(10) </w:t>
      </w:r>
      <w:r>
        <w:rPr>
          <w:b/>
        </w:rPr>
        <w:t xml:space="preserve">Account.</w:t>
      </w:r>
      <w:r>
        <w:rPr/>
        <w:t xml:space="preserve"> The photovoltaic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 </w:t>
      </w:r>
      <w:r>
        <w:rPr>
          <w:b/>
        </w:rPr>
        <w:t xml:space="preserve">Rule making.</w:t>
      </w:r>
      <w:r>
        <w:rPr/>
        <w:t xml:space="preserve"> 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photovoltaic modules and their components and materials, if substantially equivalent to the intent of the state program. The department may determine substantial equivalence if it determines that the national program adequately addresses and fulfills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is no longer substantially equivalent to the state program in Washington, the department must notify the manufacturer and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It is the intent of the legislature to investigate methods by which the state may establish or facilitate financing models that allow electric utilities in the state to maximize federal tax incentives and monetize the depreciation of renewable energy systems and other distributed energy assets, with the goal of providing improved access to the benefits of these assets to low and moderate income households as well as broad system benefits to utility ratepayers and state taxpayers.</w:t>
      </w:r>
    </w:p>
    <w:p>
      <w:pPr>
        <w:spacing w:before="0" w:after="0" w:line="408" w:lineRule="exact"/>
        <w:ind w:left="0" w:right="0" w:firstLine="576"/>
        <w:jc w:val="left"/>
      </w:pPr>
      <w:r>
        <w:rPr/>
        <w:t xml:space="preserve">(2) By December 31, 2017, the commission must prepare and submit to the appropriate committees of the legislature a report that assesses financing tools or models for the aggregation, by public or private entities, of federal tax incentives and other financial benefits accruing from the installation, ownership, and operation of renewable energy systems and other distributed energy resources. The report must:</w:t>
      </w:r>
    </w:p>
    <w:p>
      <w:pPr>
        <w:spacing w:before="0" w:after="0" w:line="408" w:lineRule="exact"/>
        <w:ind w:left="0" w:right="0" w:firstLine="576"/>
        <w:jc w:val="left"/>
      </w:pPr>
      <w:r>
        <w:rPr/>
        <w:t xml:space="preserve">(a) Assess the legal, financial, and economic feasibility of one or more financing tools or models for the aggregation of federal tax incentives and other financial benefits accruing from the installation, ownership, and operation of renewable energy systems and other distributed energy resources;</w:t>
      </w:r>
    </w:p>
    <w:p>
      <w:pPr>
        <w:spacing w:before="0" w:after="0" w:line="408" w:lineRule="exact"/>
        <w:ind w:left="0" w:right="0" w:firstLine="576"/>
        <w:jc w:val="left"/>
      </w:pPr>
      <w:r>
        <w:rPr/>
        <w:t xml:space="preserve">(b) Consider the state and federal legal aspects of such a financing tool or model, including considerations of how to structure the role of the state or any subdivision of the state in a manner that is consistent with the Constitution of the state of Washington; and</w:t>
      </w:r>
    </w:p>
    <w:p>
      <w:pPr>
        <w:spacing w:before="0" w:after="0" w:line="408" w:lineRule="exact"/>
        <w:ind w:left="0" w:right="0" w:firstLine="576"/>
        <w:jc w:val="left"/>
      </w:pPr>
      <w:r>
        <w:rPr/>
        <w:t xml:space="preserve">(c) Describe any legislation that may be necessary to facilitate, implement, or create incentives for the private sector to implement such a financing tool or model within the state.</w:t>
      </w:r>
    </w:p>
    <w:p>
      <w:pPr>
        <w:spacing w:before="0" w:after="0" w:line="408" w:lineRule="exact"/>
        <w:ind w:left="0" w:right="0" w:firstLine="576"/>
        <w:jc w:val="left"/>
      </w:pPr>
      <w:r>
        <w:rPr/>
        <w:t xml:space="preserve">(3) Beginning July 1, 2018, the commission may implement a financing tool or model for the aggregation, by public or private entities, of federal tax incentives and other financial benefits accruing from the installation, ownership, and operation of renewable energy systems and other distributed energy resources if the commission determines that it is legally, financially, and economically feasible and that it would further the public policy goals set forth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September 30, 2017.</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dcd963b028c4f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451e566c641dd" /><Relationship Type="http://schemas.openxmlformats.org/officeDocument/2006/relationships/footer" Target="/word/footer.xml" Id="Rddcd963b028c4fba" /></Relationships>
</file>