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0bda03fdca449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6002</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29</w:t>
            </w:r>
            <w:r>
              <w:t xml:space="preserve">  Nays </w:t>
              <w:t xml:space="preserve">20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27, 2018</w:t>
            </w:r>
          </w:p>
          <w:p>
            <w:pPr>
              <w:ind w:left="0" w:right="0" w:firstLine="360"/>
            </w:pPr>
            <w:r>
              <w:t xml:space="preserve">Yeas </w:t>
              <w:t xml:space="preserve">52</w:t>
            </w:r>
            <w:r>
              <w:t xml:space="preserve">  Nays </w:t>
              <w:t xml:space="preserve">46</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ENGROSSED SUBSTITUTE SENATE BILL 6002</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6002</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Saldaña, Billig, Palumbo, Frockt, Rolfes, Van De Wege, Liias, Ranker, Keiser, Pedersen, Hunt, Wellman, Conway, Chase, McCoy, Dhingra, Kuderer, Hasegawa, Nelson, Carlyle, and Mullet)</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and establishing a cause of action to redress lack of voter opportunity; amending RCW 36.32.020, 36.32.040, and 54.12.010; adding a new section to chapter 28A.343 RCW; adding a new section to chapter 35.21 RCW; adding a new section to chapter 35A.21 RCW; adding a new section to chapter 52.14 RCW; adding a new section to chapter 53.12 RCW; adding a new section to chapter 29A.76 RCW; and adding a new chapter to Title 29A RCW.</w:t>
      </w:r>
    </w:p>
    <w:p>
      <w:r>
        <w:t/>
      </w:r>
    </w:p>
    <w:p>
      <w:r>
        <w:t>BE IT ENACTED BY THE LEGISLATURE OF THE STATE OF WASHINGTON:</w:t>
      </w:r>
    </w:p>
    <w:p>
      <w:pPr>
        <w:spacing w:before="240" w:after="0" w:line="408" w:lineRule="exact"/>
        <w:ind w:left="0" w:right="0" w:firstLine="576"/>
        <w:jc w:val="center"/>
      </w:pPr>
      <w:r>
        <w:rPr>
          <w:b/>
        </w:rPr>
        <w:t xml:space="preserve">PART I -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Washington voting rights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electoral systems that deny race, color, or language minority groups an equal opportunity to elect candidates of their choice are inconsistent with the right to free and equal elections as provided by Article I, section 19 and Article VI, section 1 of the Washington state Constitution as well as protections found in the fourteenth and fifteenth amendments to the United States Constitution. The well-established principle of "one person, one vote" and the prohibition on vote dilution have been consistently upheld in federal and state courts for more than fifty years.</w:t>
      </w:r>
    </w:p>
    <w:p>
      <w:pPr>
        <w:spacing w:before="0" w:after="0" w:line="408" w:lineRule="exact"/>
        <w:ind w:left="0" w:right="0" w:firstLine="576"/>
        <w:jc w:val="left"/>
      </w:pPr>
      <w:r>
        <w:rPr/>
        <w:t xml:space="preserve">The legislature also finds that local government subdivisions are often prohibited from addressing these challenges because of Washington laws that narrowly prescribe the methods by which they may elect members of their legislative bodies. The legislature finds that in some cases, this has resulted in an improper dilution of voting power for these minority groups. The legislature intends to modify existing prohibitions in state laws so that these jurisdictions may voluntarily adopt changes on their own, in collaboration with affected community members, to remedy potential electoral issues so that minority groups have an equal opportunity to elect candidates of their choice or influence the outcome of an election.</w:t>
      </w:r>
    </w:p>
    <w:p>
      <w:pPr>
        <w:spacing w:before="0" w:after="0" w:line="408" w:lineRule="exact"/>
        <w:ind w:left="0" w:right="0" w:firstLine="576"/>
        <w:jc w:val="left"/>
      </w:pPr>
      <w:r>
        <w:rPr/>
        <w:t xml:space="preserve">The legislature intends for this act to be consistent with federal protections that may provide a similar remedy for minority groups. Remedies shall also be available where the drawing of crossover and coalition districts is able to address both vote dilution and racial polarization.</w:t>
      </w:r>
    </w:p>
    <w:p>
      <w:pPr>
        <w:spacing w:before="0" w:after="0" w:line="408" w:lineRule="exact"/>
        <w:ind w:left="0" w:right="0" w:firstLine="576"/>
        <w:jc w:val="left"/>
      </w:pPr>
      <w:r>
        <w:rPr/>
        <w:t xml:space="preserve">The legislature also intends for this act to be consistent with legal precedent from </w:t>
      </w:r>
      <w:r>
        <w:rPr>
          <w:i/>
        </w:rPr>
        <w:t xml:space="preserve">Mt. Spokane Skiing Corp. v. Spokane Co.</w:t>
      </w:r>
      <w:r>
        <w:rPr/>
        <w:t xml:space="preserve"> (86 Wn. App. 165, 1997) that found that noncharter counties need not adhere to a single uniform county system of government, but that each county have the same "authority available" in order to be deemed uniform.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at-large with district-based elections.</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as defined in case law regarding enforcement of the federal voting rights act, 52 U.S.C. 10301 et seq.,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 as this class is referenced and defined in the federal voting rights act, 52 U.S.C. 10301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provided in section 302 of this act, no method of electing the governing body of a political subdivision may be imposed or applied in a manner that impairs the ability of members of a protected class or classes to have an equal opportunity to elect candidates of their choice as a result of the dilution or abridgment of the rights of voters who are members of a protected class or classes.</w:t>
      </w:r>
    </w:p>
    <w:p>
      <w:pPr>
        <w:spacing w:before="240" w:after="0" w:line="408" w:lineRule="exact"/>
        <w:ind w:left="0" w:right="0" w:firstLine="576"/>
        <w:jc w:val="center"/>
      </w:pPr>
      <w:r>
        <w:rPr>
          <w:b/>
        </w:rPr>
        <w:t xml:space="preserve">PART II - VOLUNTARY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104 of this act.</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Prior to the adoption of its proposed plan, the political subdivision must provide public notice to residents of the subdivision about the proposed remedy to a potential violation of section 104 of this act. If a significant segment of the residents of the subdivision have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section 201 of this act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section 201 of this act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under section 201(2) of this act,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creates or perpetuates the dilution of the votes of the members of a protected class or classes.</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w:t>
      </w:r>
    </w:p>
    <w:p>
      <w:pPr>
        <w:spacing w:before="0" w:after="0" w:line="408" w:lineRule="exact"/>
        <w:ind w:left="0" w:right="0" w:firstLine="576"/>
        <w:jc w:val="left"/>
      </w:pPr>
      <w:r>
        <w:rPr/>
        <w:t xml:space="preserve">(5) No later than eight months after its receipt of federal decennial census data, the governing body of the political subdivision that had previously invoked its authority under section 201 of this act to implement a district-based election system, or that was previously charged with redistricting under section 403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The school board of directors may authorize a change to its electoral system pursuant to section 201 of this act. Any staggering of directors' terms shall be accomplished as provided in RCW 28A.343.030 and 28A.343.600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pursuant to section 201 of this act. Except where necessary to comply with a court order issued pursuant to section 403 of this act, and except in the case of an intervening census, t</w:t>
      </w:r>
      <w:r>
        <w:rPr/>
        <w:t xml:space="preserve">he lines of the districts shall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1982 c 226 s 5 are each amended to read as follows:</w:t>
      </w:r>
    </w:p>
    <w:p>
      <w:pPr>
        <w:spacing w:before="0" w:after="0" w:line="408" w:lineRule="exact"/>
        <w:ind w:left="0" w:right="0" w:firstLine="576"/>
        <w:jc w:val="left"/>
      </w:pPr>
      <w:r>
        <w:rPr/>
        <w:t xml:space="preserve">(1) Except as provided in subsection (2)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u w:val="single"/>
        </w:rPr>
        <w:t xml:space="preserve">(3) The commissioners of any county may authorize a change to their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board of fire commissioners of a fire protection district may authorize a change to its electoral system pursuant to section 201 of this act by majority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port commission may authorize a change to its electoral system pursuant to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403 of this act</w:t>
      </w:r>
      <w:r>
        <w:rPr/>
        <w:t xml:space="preserve">, and shall be examined every ten years to determine substantial equality of population in accordance with chapter 29A.76 RCW. Except as provided in this section </w:t>
      </w:r>
      <w:r>
        <w:t>((</w:t>
      </w:r>
      <w:r>
        <w:rPr>
          <w:strike/>
        </w:rPr>
        <w:t xml:space="preserve">or</w:t>
      </w:r>
      <w:r>
        <w:t>))</w:t>
      </w:r>
      <w:r>
        <w:rPr>
          <w:u w:val="single"/>
        </w:rPr>
        <w:t xml:space="preserve">, section 403 of this act,</w:t>
      </w:r>
      <w:r>
        <w:rPr/>
        <w:t xml:space="preserve"> RCW 54.04.039, </w:t>
      </w:r>
      <w:r>
        <w:rPr>
          <w:u w:val="single"/>
        </w:rPr>
        <w:t xml:space="preserve">or in the case of an intervening census,</w:t>
      </w:r>
      <w:r>
        <w:rPr/>
        <w:t xml:space="preserve">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240" w:after="0" w:line="408" w:lineRule="exact"/>
        <w:ind w:left="0" w:right="0" w:firstLine="576"/>
        <w:jc w:val="center"/>
      </w:pPr>
      <w:r>
        <w:rPr>
          <w:b/>
        </w:rPr>
        <w:t xml:space="preserve">PART III - CITIZEN-INITIATED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A voter who resides in the political subdivision who intends to challenge a political subdivision's electoral system under this act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is in violation of this act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act,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t xml:space="preserve">(3) In determining whether there is polarized voting under this act,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Elections conducted prior to the filing of an action pursuant to this act are more probative to establish the existence of racially polarized voting than elections conducted after the filing of an action.</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act shall not preclude a finding of polarized voting that results in an unequal opportunity for a protected class to elect candidates of their choice.</w:t>
      </w:r>
    </w:p>
    <w:p>
      <w:pPr>
        <w:spacing w:before="0" w:after="0" w:line="408" w:lineRule="exact"/>
        <w:ind w:left="0" w:right="0" w:firstLine="576"/>
        <w:jc w:val="left"/>
      </w:pPr>
      <w:r>
        <w:rPr/>
        <w:t xml:space="preserve">(5)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(6) Other factors such as the history of discrimination, the use of electoral devices or other voting practices or procedures that may enhance the dilutive effects of at-large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political subdivision shall work in good faith with the person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section 104 of this act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(4) In agreeing to adopt the person's proposed remedy, the political subdivision may do so by stipulation, which shall become a public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voter who resides in the political subdivision may file an action under this act if, one hundred eighty days after a political subdivision receives notice of a challenge to its electoral system under section 301 of this act, the political subdivision has not obtained a court order stating that it has adopted a remedy in compliance with section 104 of this act. However, if notice is received after July 1, 2021, then the political subdivision shall have ninety days to obtain a court order before an action may be filed.</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section 104 of this act. The persons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240" w:after="0" w:line="408" w:lineRule="exact"/>
        <w:ind w:left="0" w:right="0" w:firstLine="576"/>
        <w:jc w:val="center"/>
      </w:pPr>
      <w:r>
        <w:rPr>
          <w:b/>
        </w:rPr>
        <w:t xml:space="preserve">PART IV - SAFE HARBOR AND LEGAL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After exhaustion of the time period in section 304 of this act, any voter who resides in a political subdivision where a violation of section 104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Members of different protected classes may file an action jointly pursuant to this act if they demonstrate that the combined voting preferences of the multiple protected classes are polarized against the rest of the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For purposes of any applicable statute of limitations, a cause of action under this act arises every time there is an election for any members of the governing body of the political subdivision.</w:t>
      </w:r>
    </w:p>
    <w:p>
      <w:pPr>
        <w:spacing w:before="0" w:after="0" w:line="408" w:lineRule="exact"/>
        <w:ind w:left="0" w:right="0" w:firstLine="576"/>
        <w:jc w:val="left"/>
      </w:pPr>
      <w:r>
        <w:rPr/>
        <w:t xml:space="preserve">(3) The plaintiff's constitutional right to the secrecy of the plaintiff's vote is preserved and is not waived by the filing of an action pursuant to this act, and the filing is not subject to discovery or disclosure.</w:t>
      </w:r>
    </w:p>
    <w:p>
      <w:pPr>
        <w:spacing w:before="0" w:after="0" w:line="408" w:lineRule="exact"/>
        <w:ind w:left="0" w:right="0" w:firstLine="576"/>
        <w:jc w:val="left"/>
      </w:pPr>
      <w:r>
        <w:rPr/>
        <w:t xml:space="preserve">(4)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(5) No notice may be submitted to any political subdivision pursuant to this act before July 19,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may order appropriate remedies including, but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rPr/>
        <w:t xml:space="preserve">(3) In tailoring a remedy after a finding of a violation of section 104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w:t>
      </w:r>
    </w:p>
    <w:p>
      <w:pPr>
        <w:spacing w:before="0" w:after="0" w:line="408" w:lineRule="exact"/>
        <w:ind w:left="0" w:right="0" w:firstLine="576"/>
        <w:jc w:val="left"/>
      </w:pPr>
      <w:r>
        <w:rPr/>
        <w:t xml:space="preserve">(4) Within thirty days of the conclusion of any action filed under section 402 of this act, the political subdivision must publish on the subdivision's web site, the outcome and summary of the action, as well as the legal costs incurred by the subdivision. If the political subdivision does not have its own web site, then it may publish on the county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action under this act may be brought by any person against a political subdivision that has adopted a remedy to its electoral system after an action is filed that is approved by a court pursuant to section 303 of this act or implemented a court-ordered remedy pursuant to section 403 of this act for four years after adoption of the remedy if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(2) No action under this act may be brought by any person against a political subdivision that has adopted a remedy to its electoral system in the previous decade before the effective date of this section as a result of a claim under the federal voting rights act until after the political subdivision completes redistricting pursuant to RCW 29A.76.010 for the 2020 decennial census.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240" w:after="0" w:line="408" w:lineRule="exact"/>
        <w:ind w:left="0" w:right="0" w:firstLine="576"/>
        <w:jc w:val="center"/>
      </w:pPr>
      <w:r>
        <w:rPr>
          <w:b/>
        </w:rPr>
        <w:t xml:space="preserve">PART 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provisions of parts I, III, and IV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In any change to its electoral system under section 201 of this act or preparation of a redistricting plan under section 201 of this act, political subdivisions may use population data regarding political parties only to the extent necessary to ensure compliance with this act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comply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202, 301 through 501, and 503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170e13971f1849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6002.PL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a621ac351e849bd" /><Relationship Type="http://schemas.openxmlformats.org/officeDocument/2006/relationships/footer" Target="/word/footer.xml" Id="R170e13971f1849b5" /></Relationships>
</file>