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4068392db248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6068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Frockt, Pedersen, Palumbo, Conway, Saldaña, Kuderer, and Mullet)</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applicability of nondisclosure agreements in civil actions for sexual harassment or assault; adding a new section to chapter 4.24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In any civil judicial or administrative action relating to sexual harassment or sexual assault, a nondisclosure policy or agreement that purports to limit the ability of any person to produce evidence regarding past instances of sexual harassment or sexual assault by a party to the civil action does not affect discovery or the availability of witness testimony relating to that civil action. Any provision of a nondisclosure policy or agreement including any arbitration agreement or decision that would limit, prevent, or punish such disclosure is contrary to public policy and unenforceable. However, the court or presiding officer shall enter appropriate orders upon motion of any party supported by affidavit or sworn declaration, or without motion but on the court's or presiding officer's own accord, to ensure that the identity of any person who is or is alleged to be a victim of sexual harassment or sexual assault is not made public as a result of a disclosure made under this section, unless such person consents.</w:t>
      </w:r>
    </w:p>
    <w:p>
      <w:pPr>
        <w:spacing w:before="0" w:after="0" w:line="408" w:lineRule="exact"/>
        <w:ind w:left="0" w:right="0" w:firstLine="576"/>
        <w:jc w:val="left"/>
      </w:pPr>
      <w:r>
        <w:rPr/>
        <w:t xml:space="preserve">(2) The provisions of this section do not alter admissibility standards of evidence for the court or presiding officer to decide whether the probative value of evidence offered outweighs the potential prejudice.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actions pending as of the effective date and actions filed after the effective date.</w:t>
      </w:r>
    </w:p>
    <w:p/>
    <w:p>
      <w:pPr>
        <w:jc w:val="center"/>
      </w:pPr>
      <w:r>
        <w:rPr>
          <w:b/>
        </w:rPr>
        <w:t>--- END ---</w:t>
      </w:r>
    </w:p>
    <w:sectPr>
      <w:pgNumType w:start="1"/>
      <w:footerReference xmlns:r="http://schemas.openxmlformats.org/officeDocument/2006/relationships" r:id="R1b5c93d8b78042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f216b537264141" /><Relationship Type="http://schemas.openxmlformats.org/officeDocument/2006/relationships/footer" Target="/word/footer.xml" Id="R1b5c93d8b78042e6" /></Relationships>
</file>