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d268a96f74f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6137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6137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King, Keiser, Hasegawa, and Wilson)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relationship between manufacturers and new motor vehicle dealers by providing tools to resolve disparities including expanding compensation for recalled vehicles; amending RCW 46.96.185 and 46.96.260;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order, or the manufacturer has not certified that the issue identified in the notice of recall does not affect the safe operation of the vehicle, commencing on the fifteenth day after the notice or order was issued and ending on the earlier of the date that the remedy or repair parts necessary to resolve the recall, stop-sale, or do-not-drive order are available to the dealer for vehicles in the dealer's inventory or the dealer sells, trades, or otherwise disposes of the vehicle, the manufacturer shall compensate the dealer at a prorated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manufacturer is not required to compensate a motor vehicle dealer for more than the total trade-in value of the vehicle as established under this section. A manufacturer is not required to compensate a motor vehicle dealer for vehicles purchased by the dealer at a wholesale auction after the date the order was issued. A stop-sale or do-not-drive order is defined as a notification issued by a vehicle manufacturer to its franchised dealers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the manufacturer has not certified that the issue identified in the notice of recall does not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the manufacturer has not certified that the issue identified in the notice of recall does not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 manufacturer shall pay a claim within thirty days following approval. Any claim not specifically disapproved in writing within thirty days following receipt is approved.</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0" w:after="0" w:line="408" w:lineRule="exact"/>
        <w:ind w:left="0" w:right="0" w:firstLine="576"/>
        <w:jc w:val="left"/>
      </w:pPr>
      <w:r>
        <w:rPr/>
        <w:t xml:space="preserve">(6) Any remedy provided to a new motor vehicle dealer under this section is exclusive and may not be combined with any other state or federal recall compensation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w:t>
      </w:r>
      <w:r>
        <w:t>((</w:t>
      </w:r>
      <w:r>
        <w:rPr>
          <w:strike/>
        </w:rPr>
        <w:t xml:space="preserve">state borders,</w:t>
      </w:r>
      <w:r>
        <w:t>))</w:t>
      </w:r>
      <w:r>
        <w:rPr/>
        <w:t xml:space="preserve">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w:t>
      </w:r>
      <w:r>
        <w:rPr>
          <w:u w:val="single"/>
        </w:rPr>
        <w:t xml:space="preserve">, or any corporation or association that is primarily owned by or composed of new motor vehicle dealers and that primarily represents the interests of new motor vehicle dealers and is acting for itself or by, for, or on behalf of one or more new motor vehicle dealers, has standing to file a petition to the department to have the matter handled as an adjudicative proceeding under chapter 34.05 RCW, or</w:t>
      </w:r>
      <w:r>
        <w:rPr/>
        <w:t xml:space="preserve"> may bring a civil action in </w:t>
      </w:r>
      <w:r>
        <w:t>((</w:t>
      </w:r>
      <w:r>
        <w:rPr>
          <w:strike/>
        </w:rPr>
        <w:t xml:space="preserve">the superior</w:t>
      </w:r>
      <w:r>
        <w:t>))</w:t>
      </w:r>
      <w:r>
        <w:rPr/>
        <w:t xml:space="preserve"> </w:t>
      </w:r>
      <w:r>
        <w:rPr>
          <w:u w:val="single"/>
        </w:rPr>
        <w:t xml:space="preserve">a</w:t>
      </w:r>
      <w:r>
        <w:rPr/>
        <w:t xml:space="preserve"> court </w:t>
      </w:r>
      <w:r>
        <w:rPr>
          <w:u w:val="single"/>
        </w:rPr>
        <w:t xml:space="preserve">of competent jurisdiction</w:t>
      </w:r>
      <w:r>
        <w:rPr/>
        <w:t xml:space="preserve"> to recover the actual damages sustained by the dealer, </w:t>
      </w:r>
      <w:r>
        <w:rPr>
          <w:u w:val="single"/>
        </w:rPr>
        <w:t xml:space="preserve">to seek declaratory relief, or to enjoin further violations,</w:t>
      </w:r>
      <w:r>
        <w:rPr/>
        <w:t xml:space="preserve"> together with the costs of the suit, including reasonable attorneys' fees if the new motor vehicle dealer</w:t>
      </w:r>
      <w:r>
        <w:rPr>
          <w:u w:val="single"/>
        </w:rPr>
        <w:t xml:space="preserve">, corporation, or association</w:t>
      </w:r>
      <w:r>
        <w:rPr/>
        <w:t xml:space="preserve"> prevails. </w:t>
      </w:r>
      <w:r>
        <w:t>((</w:t>
      </w:r>
      <w:r>
        <w:rPr>
          <w:strike/>
        </w:rPr>
        <w:t xml:space="preserve">The new motor vehicle dealer may bring a civil action in district court to recover his or her actual damages, except for damages that exceed the amount specified in RCW 3.66.020, and the costs of the suit, including reasonable attorneys' fees.</w:t>
      </w:r>
      <w:r>
        <w:t>))</w:t>
      </w:r>
      <w:r>
        <w:rPr/>
        <w:t xml:space="preserve"> </w:t>
      </w:r>
      <w:r>
        <w:rPr>
          <w:u w:val="single"/>
        </w:rPr>
        <w:t xml:space="preserve">In addition, the court may, in its discretion, increase the award of damages up to an amount not to exceed three times the actual damages sustained for a willful violation. If a petition is filed with the department, the petition must be accompanied with a filing fee in accordance with RCW 46.96.210.</w:t>
      </w:r>
    </w:p>
    <w:p/>
    <w:p>
      <w:pPr>
        <w:jc w:val="center"/>
      </w:pPr>
      <w:r>
        <w:rPr>
          <w:b/>
        </w:rPr>
        <w:t>--- END ---</w:t>
      </w:r>
    </w:p>
    <w:sectPr>
      <w:pgNumType w:start="1"/>
      <w:footerReference xmlns:r="http://schemas.openxmlformats.org/officeDocument/2006/relationships" r:id="R68e09045f65047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167e55d24d4438" /><Relationship Type="http://schemas.openxmlformats.org/officeDocument/2006/relationships/footer" Target="/word/footer.xml" Id="R68e09045f6504789" /></Relationships>
</file>