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a6f5efda947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6437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 King)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on public property; amending RCW 46.79.110 and 46.80.020; reenacting and amending RCW 43.84.092; adding a new section to chapter 46.55 RCW; adding a new section to chapter 46.17 RCW; adding a new section to chapter 46.68 RCW; adding a new chapter to Title 46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 in compliance with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deposited into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and scrap metal businesses, as defined in RCW 19.290.010, may apply to the department on a form prescribed by the department for cost reimbursement for the towing,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of this act for cost reimbursement for the towing, transport, storage, dismantling, and disposal of abandoned recreational vehicles. The department may not authorize reimbursements that total more than ten thousand dollars per vehicle for which cost reimbursements are requested.</w:t>
      </w:r>
    </w:p>
    <w:p>
      <w:pPr>
        <w:spacing w:before="0" w:after="0" w:line="408" w:lineRule="exact"/>
        <w:ind w:left="0" w:right="0" w:firstLine="576"/>
        <w:jc w:val="left"/>
      </w:pPr>
      <w:r>
        <w:rPr/>
        <w:t xml:space="preserve">(3) After consulting with the 2017 stakeholder group, the department may develop rules including, but not limited to, towing, transport, storage, dismantling, and disposal rates, application form and contents, and cost reimbursement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For the purposes of this section,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act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 up to a limit of ten thousand dollars per vehicle for which cost reimbursements are requested.</w:t>
      </w:r>
    </w:p>
    <w:p>
      <w:pPr>
        <w:spacing w:before="0" w:after="0" w:line="408" w:lineRule="exact"/>
        <w:ind w:left="0" w:right="0" w:firstLine="576"/>
        <w:jc w:val="left"/>
      </w:pPr>
      <w:r>
        <w:rPr/>
        <w:t xml:space="preserve">(4) In each fiscal biennium, beginning in the 2019-2021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
      <w:pPr>
        <w:jc w:val="center"/>
      </w:pPr>
      <w:r>
        <w:rPr>
          <w:b/>
        </w:rPr>
        <w:t>--- END ---</w:t>
      </w:r>
    </w:p>
    <w:sectPr>
      <w:pgNumType w:start="1"/>
      <w:footerReference xmlns:r="http://schemas.openxmlformats.org/officeDocument/2006/relationships" r:id="Rc3869adec16549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fd57504bf4344" /><Relationship Type="http://schemas.openxmlformats.org/officeDocument/2006/relationships/footer" Target="/word/footer.xml" Id="Rc3869adec1654999" /></Relationships>
</file>