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1f7b7071f4b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1022</w:t>
      </w:r>
    </w:p>
    <w:p>
      <w:pPr>
        <w:jc w:val="center"/>
        <w:spacing w:before="480" w:after="0" w:line="240"/>
      </w:pPr>
      <w:r>
        <w:t xml:space="preserve">Chapter </w:t>
      </w:r>
      <w:r>
        <w:rPr/>
        <w:t xml:space="preserve">86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ALIEN VICTIMS OF CRIME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1:43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MacEwen, Pettigrew,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or any successor statutes regarding T or U nonimmigrant visas or their successor programs, including current United States citizenship and immigration services form I-914 supplement B or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or otherwise participated in the detection, investigation, or prosecution of criminal activity; and (b)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 This definition applies to this chapter only.</w:t>
      </w:r>
    </w:p>
    <w:p>
      <w:pPr>
        <w:spacing w:before="0" w:after="0" w:line="408" w:lineRule="exact"/>
        <w:ind w:left="0" w:right="0" w:firstLine="576"/>
        <w:jc w:val="left"/>
      </w:pPr>
      <w:r>
        <w:rPr/>
        <w:t xml:space="preserve">(7) "Victim of trafficking" means any individual who is or has been a victim of human trafficking, which includes, but is not limited to, the following acts: (a) Sex trafficking in which a commercial sex act was induced by force, fraud, or coercion; (b) sex trafficking and the victim was under the age of eighteen years; (c) recruiting, harboring, transportation of, providing, or obtaining a person for labor or services through the use of force, fraud, or coercion for subjection to involuntary servitude, peonage, debt bondage, or slavery; or (d) another act or circumstance involving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(a)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 or (b) make a determination on United States citizenship and immigration services form I-914 supplement B or relevant successor certification form, whether the victim is or has been a victim of trafficking and, unless the victim is under the age of eighteen, whether he or she has complied with any reasonable requests from law enforcement in any related investigation or prosecution of the acts of trafficking in which he or she was a victim.</w:t>
      </w:r>
    </w:p>
    <w:p>
      <w:pPr>
        <w:spacing w:before="0" w:after="0" w:line="408" w:lineRule="exact"/>
        <w:ind w:left="0" w:right="0" w:firstLine="576"/>
        <w:jc w:val="left"/>
      </w:pPr>
      <w:r>
        <w:rPr/>
        <w:t xml:space="preserve">(2) Upon a certifying agency's affirmative determination under subsection (1) of this section, the certifying official shall fully complete and sign the certification, including, if applicable, the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certification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related to the investigation or prosecution of the associated criminal activity when reasonably requested by the certifying agency.</w:t>
      </w:r>
    </w:p>
    <w:p>
      <w:pPr>
        <w:spacing w:before="0" w:after="0" w:line="408" w:lineRule="exact"/>
        <w:ind w:left="0" w:right="0" w:firstLine="576"/>
        <w:jc w:val="left"/>
      </w:pPr>
      <w:r>
        <w:rPr/>
        <w:t xml:space="preserve">(6)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and trafficking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(7)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(8) A certifying agency shall reissue any certification within ninety days of receiving a request from the victim of criminal activity or trafficking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(9) A certifying agency shall not disclose personal identifying information, or information regarding the citizenship or immigration status of any victim of criminal activity or trafficking who is requesting a certification unless required to do so by applicable federal law or court order, or unless the certifying agency has written authorization from the victim or, if the victim is a minor or is otherwise not legally competent, by the victim's parent or guardian. This subsection does not modify prosecutor or law enforcement obligations to disclose information and evidence to defendants under </w:t>
      </w:r>
      <w:r>
        <w:rPr>
          <w:i/>
        </w:rPr>
        <w:t xml:space="preserve">Brady v. Maryland</w:t>
      </w:r>
      <w:r>
        <w:rPr/>
        <w:t xml:space="preserve">, 373 U.S. 83, 83 S. Ct. 1194, 10 L. Ed. 2d 215 (1963), or </w:t>
      </w:r>
      <w:r>
        <w:rPr>
          <w:i/>
        </w:rPr>
        <w:t xml:space="preserve">Kyles v. Whitley</w:t>
      </w:r>
      <w:r>
        <w:rPr/>
        <w:t xml:space="preserve">, 514 U.S. 419, 115 S. Ct. 1555; 131 L. Ed. 2d 490 (1995), or any related Washington case law, statutes, or court rules.</w:t>
      </w:r>
    </w:p>
    <w:p>
      <w:pPr>
        <w:spacing w:before="0" w:after="0" w:line="408" w:lineRule="exact"/>
        <w:ind w:left="0" w:right="0" w:firstLine="576"/>
        <w:jc w:val="left"/>
      </w:pPr>
      <w:r>
        <w:rPr/>
        <w:t xml:space="preserve">(10)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office of crime victims advocacy shall provide administrative support for the committee.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members of the committee shall serve without compensation. Members are reimbursed for travel expenses as provided in RCW 43.03.050 and 43.03.060, subject to available resources and other limitations in chapter 43.03 RCW.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2bf17fe42efa40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56d7fca78425d" /><Relationship Type="http://schemas.openxmlformats.org/officeDocument/2006/relationships/footer" Target="/word/footer.xml" Id="R2bf17fe42efa40f5" /></Relationships>
</file>