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58767ef374f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1148</w:t>
      </w:r>
    </w:p>
    <w:p>
      <w:pPr>
        <w:jc w:val="center"/>
        <w:spacing w:before="480" w:after="0" w:line="240"/>
      </w:pPr>
      <w:r>
        <w:t xml:space="preserve">Chapter </w:t>
      </w:r>
      <w:r>
        <w:rPr/>
        <w:t xml:space="preserve">55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TIMBER PURCHASES REPORTING REQUIREMENT--EXPIRATION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11:16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J. Walsh, Chapman, Vick, Blake, Orcutt, and Muri</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2014 c 152 s 1 are each amended to read as follows:</w:t>
      </w:r>
    </w:p>
    <w:p>
      <w:pPr>
        <w:spacing w:before="0" w:after="0" w:line="408" w:lineRule="exact"/>
        <w:ind w:left="0" w:right="0" w:firstLine="576"/>
        <w:jc w:val="left"/>
      </w:pPr>
      <w:r>
        <w:rPr/>
        <w:t xml:space="preserve">(1) A purchaser of privately owned timber in an amount in excess of two hundred thousand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two hundred fifty dollars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July 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3fb4349cc1ac4f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2c8dd647640e8" /><Relationship Type="http://schemas.openxmlformats.org/officeDocument/2006/relationships/footer" Target="/word/footer.xml" Id="R3fb4349cc1ac4fb1" /></Relationships>
</file>