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8894ebcdf42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1402</w:t>
      </w:r>
    </w:p>
    <w:p>
      <w:pPr>
        <w:jc w:val="center"/>
        <w:spacing w:before="480" w:after="0" w:line="240"/>
      </w:pPr>
      <w:r>
        <w:t xml:space="preserve">Chapter </w:t>
      </w:r>
      <w:r>
        <w:rPr/>
        <w:t xml:space="preserve">268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INCAPACITATED PERSONS--RIGHTS--GUARDIAN DUTIES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11:12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1402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Jinkins, Griffey, Rodne, Goodman, Muri, Kilduff, Orwall, Haler, Kirby, Hansen, Frame, Johnson, Appleton, Ortiz-Self, and Cody)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and obligations associated with incapacitated persons and other vulnerable adults; amending RCW 74.34.020 and 11.92.043; adding a new section to chapter 11.92 RCW; adding a new section to chapter 2.72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u w:val="single"/>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business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acute care in response to a life-threatening injury or medical condition that requires inpatient care;</w:t>
      </w:r>
    </w:p>
    <w:p>
      <w:pPr>
        <w:spacing w:before="0" w:after="0" w:line="408" w:lineRule="exact"/>
        <w:ind w:left="0" w:right="0" w:firstLine="576"/>
        <w:jc w:val="left"/>
      </w:pPr>
      <w:r>
        <w:rPr>
          <w:u w:val="single"/>
        </w:rPr>
        <w:t xml:space="preserve">(iii) Has been treated in an emergency room setting or kept for hospital observation for more than twenty-four hours; or</w:t>
      </w:r>
    </w:p>
    <w:p>
      <w:pPr>
        <w:spacing w:before="0" w:after="0" w:line="408" w:lineRule="exact"/>
        <w:ind w:left="0" w:right="0" w:firstLine="576"/>
        <w:jc w:val="left"/>
      </w:pPr>
      <w:r>
        <w:rPr>
          <w:u w:val="single"/>
        </w:rPr>
        <w:t xml:space="preserve">(iv)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aa082969c73842d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e4fc59ffb4da2" /><Relationship Type="http://schemas.openxmlformats.org/officeDocument/2006/relationships/footer" Target="/word/footer.xml" Id="Raa082969c73842dd" /></Relationships>
</file>