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3d804b5f74b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1593</w:t>
      </w:r>
    </w:p>
    <w:p>
      <w:pPr>
        <w:jc w:val="center"/>
        <w:spacing w:before="480" w:after="0" w:line="240"/>
      </w:pPr>
      <w:r>
        <w:t xml:space="preserve">Chapter </w:t>
      </w:r>
      <w:r>
        <w:rPr/>
        <w:t xml:space="preserve">113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SMALL SECURITIES OFFERINGS--SECURITIES ACT--REGISTRATION EXEMPTIONS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20, 2017</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10:43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Vick and Kirby</w:t>
      </w:r>
    </w:p>
    <w:p/>
    <w:p>
      <w:r>
        <w:rPr>
          <w:t xml:space="preserve">Read first time 01/24/17.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small securities offerings; amending RCW 21.20.880; and repealing RCW 21.20.883 and 21.20.886.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w:t>
      </w:r>
      <w:r>
        <w:rPr>
          <w:u w:val="single"/>
        </w:rPr>
        <w:t xml:space="preserve">issuer first files the offering with the director and the director declares the</w:t>
      </w:r>
      <w:r>
        <w:rPr/>
        <w:t xml:space="preserve"> offering </w:t>
      </w:r>
      <w:r>
        <w:t>((</w:t>
      </w:r>
      <w:r>
        <w:rPr>
          <w:strike/>
        </w:rPr>
        <w:t xml:space="preserve">is first declared</w:t>
      </w:r>
      <w:r>
        <w:t>))</w:t>
      </w:r>
      <w:r>
        <w:rPr/>
        <w:t xml:space="preserve"> exempt </w:t>
      </w:r>
      <w:r>
        <w:t>((</w:t>
      </w:r>
      <w:r>
        <w:rPr>
          <w:strike/>
        </w:rPr>
        <w:t xml:space="preserve">by the director after:</w:t>
      </w:r>
    </w:p>
    <w:p>
      <w:pPr>
        <w:spacing w:before="0" w:after="0" w:line="408" w:lineRule="exact"/>
        <w:ind w:left="0" w:right="0" w:firstLine="576"/>
        <w:jc w:val="left"/>
      </w:pPr>
      <w:r>
        <w:rPr>
          <w:strike/>
        </w:rPr>
        <w:t xml:space="preserve">(i) The issuer files the offering with the director; or</w:t>
      </w:r>
    </w:p>
    <w:p>
      <w:pPr>
        <w:spacing w:before="0" w:after="0" w:line="408" w:lineRule="exact"/>
        <w:ind w:left="0" w:right="0" w:firstLine="576"/>
        <w:jc w:val="left"/>
      </w:pPr>
      <w:r>
        <w:rPr>
          <w:strike/>
        </w:rPr>
        <w:t xml:space="preserve">(ii) A portal working in collaboration with the director files the offering with the director on behalf of the issuer under RCW 21.20.883</w:t>
      </w:r>
      <w:r>
        <w:t>))</w:t>
      </w:r>
      <w:r>
        <w:rPr/>
        <w:t xml:space="preserve">;</w:t>
      </w:r>
    </w:p>
    <w:p>
      <w:pPr>
        <w:spacing w:before="0" w:after="0" w:line="408" w:lineRule="exact"/>
        <w:ind w:left="0" w:right="0" w:firstLine="576"/>
        <w:jc w:val="left"/>
      </w:pPr>
      <w:r>
        <w:rPr/>
        <w:t xml:space="preserve">(b) The offering is conducted in accordance with </w:t>
      </w:r>
      <w:r>
        <w:t>((</w:t>
      </w:r>
      <w:r>
        <w:rPr>
          <w:strike/>
        </w:rPr>
        <w:t xml:space="preserve">the requirements of section 3(a)(11) of the securities act of 1933 and securities and exchange commission rule 147, 17 C.F.R. Sec. 230.147</w:t>
      </w:r>
      <w:r>
        <w:t>))</w:t>
      </w:r>
      <w:r>
        <w:rPr/>
        <w:t xml:space="preserve"> </w:t>
      </w:r>
      <w:r>
        <w:rPr>
          <w:u w:val="single"/>
        </w:rPr>
        <w:t xml:space="preserve">an applicable exemption from registration under the securities act of 1933</w:t>
      </w:r>
      <w:r>
        <w:rPr/>
        <w:t xml:space="preserve">;</w:t>
      </w:r>
    </w:p>
    <w:p>
      <w:pPr>
        <w:spacing w:before="0" w:after="0" w:line="408" w:lineRule="exact"/>
        <w:ind w:left="0" w:right="0" w:firstLine="576"/>
        <w:jc w:val="left"/>
      </w:pPr>
      <w:r>
        <w:rPr/>
        <w:t xml:space="preserve">(c) The issuer is an entity </w:t>
      </w:r>
      <w:r>
        <w:t>((</w:t>
      </w:r>
      <w:r>
        <w:rPr>
          <w:strike/>
        </w:rPr>
        <w:t xml:space="preserve">organized and</w:t>
      </w:r>
      <w:r>
        <w:t>))</w:t>
      </w:r>
      <w:r>
        <w:rPr/>
        <w:t xml:space="preserve"> doing business in the state of Washington;</w:t>
      </w:r>
    </w:p>
    <w:p>
      <w:pPr>
        <w:spacing w:before="0" w:after="0" w:line="408" w:lineRule="exact"/>
        <w:ind w:left="0" w:right="0" w:firstLine="576"/>
        <w:jc w:val="left"/>
      </w:pPr>
      <w:r>
        <w:rPr/>
        <w:t xml:space="preserve">(d) </w:t>
      </w:r>
      <w:r>
        <w:t>((</w:t>
      </w:r>
      <w:r>
        <w:rPr>
          <w:strike/>
        </w:rPr>
        <w:t xml:space="preserve">Each investor provides evidence or certification of residency in the state of Washington at the time of purchase;</w:t>
      </w:r>
    </w:p>
    <w:p>
      <w:pPr>
        <w:spacing w:before="0" w:after="0" w:line="408" w:lineRule="exact"/>
        <w:ind w:left="0" w:right="0" w:firstLine="576"/>
        <w:jc w:val="left"/>
      </w:pPr>
      <w:r>
        <w:rPr>
          <w:strike/>
        </w:rPr>
        <w:t xml:space="preserve">(e)</w:t>
      </w:r>
      <w:r>
        <w:t>))</w:t>
      </w:r>
      <w:r>
        <w:rPr/>
        <w:t xml:space="preserve"> The issuer files with the director an escrow agreement </w:t>
      </w:r>
      <w:r>
        <w:t>((</w:t>
      </w:r>
      <w:r>
        <w:rPr>
          <w:strike/>
        </w:rPr>
        <w:t xml:space="preserve">either directly or through a portal</w:t>
      </w:r>
      <w:r>
        <w:t>))</w:t>
      </w:r>
      <w:r>
        <w:rPr/>
        <w:t xml:space="preserve">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aggregate amount sold to any investor</w:t>
      </w:r>
      <w:r>
        <w:rPr>
          <w:u w:val="single"/>
        </w:rPr>
        <w:t xml:space="preserve">, other than an "accredited investor" as that term is defined under the securities act of 1933,</w:t>
      </w:r>
      <w:r>
        <w:rPr/>
        <w:t xml:space="preserve">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issuer reasonably believes that all purchasers are purchasing for investment and not for sale in connection with a distribution of the security;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w:t>
      </w:r>
      <w:r>
        <w:t>((</w:t>
      </w:r>
      <w:r>
        <w:rPr>
          <w:strike/>
        </w:rPr>
        <w:t xml:space="preserve">a quarterly</w:t>
      </w:r>
      <w:r>
        <w:t>))</w:t>
      </w:r>
      <w:r>
        <w:rPr/>
        <w:t xml:space="preserve"> </w:t>
      </w:r>
      <w:r>
        <w:rPr>
          <w:u w:val="single"/>
        </w:rPr>
        <w:t xml:space="preserve">an annual</w:t>
      </w:r>
      <w:r>
        <w:rPr/>
        <w:t xml:space="preserve"> report to the issuer's shareholders and the director </w:t>
      </w:r>
      <w:r>
        <w:t>((</w:t>
      </w:r>
      <w:r>
        <w:rPr>
          <w:strike/>
        </w:rPr>
        <w:t xml:space="preserve">by making such report publicly accessible, free of charge, at the issuer's internet web site address within forty-five days of the end of each fiscal quarter</w:t>
      </w:r>
      <w:r>
        <w:t>))</w:t>
      </w:r>
      <w:r>
        <w:rPr/>
        <w:t xml:space="preserve"> </w:t>
      </w:r>
      <w:r>
        <w:rPr>
          <w:u w:val="single"/>
        </w:rPr>
        <w:t xml:space="preserve">no later than one hundred twenty days after the end of the fiscal year covered by the report. An issuer may provide the report to its shareholders by posting a copy of the report on the issuer's web site</w:t>
      </w:r>
      <w:r>
        <w:rPr/>
        <w:t xml:space="preserve">.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Any type of equity or convertible debt security may be offered under the exemption provided under this section.</w:t>
      </w:r>
    </w:p>
    <w:p>
      <w:pPr>
        <w:spacing w:before="0" w:after="0" w:line="408" w:lineRule="exact"/>
        <w:ind w:left="0" w:right="0" w:firstLine="576"/>
        <w:jc w:val="left"/>
      </w:pPr>
      <w:r>
        <w:rPr>
          <w:u w:val="single"/>
        </w:rPr>
        <w:t xml:space="preserve">(7) Subject to RCW 21.20.450, the director may adopt, amend, or repeal rules to implement this section, including the establishment of filing and transaction fees sufficient to cover the costs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883</w:t>
      </w:r>
      <w:r>
        <w:rPr/>
        <w:t xml:space="preserve"> (Portals</w:t>
      </w:r>
      <w:r>
        <w:rPr>
          <w:rFonts w:ascii="Times New Roman" w:hAnsi="Times New Roman"/>
        </w:rPr>
        <w:t xml:space="preserve">—</w:t>
      </w:r>
      <w:r>
        <w:rPr/>
        <w:t xml:space="preserve">Qualifications and use</w:t>
      </w:r>
      <w:r>
        <w:rPr>
          <w:rFonts w:ascii="Times New Roman" w:hAnsi="Times New Roman"/>
        </w:rPr>
        <w:t xml:space="preserve">—</w:t>
      </w:r>
      <w:r>
        <w:rPr/>
        <w:t xml:space="preserve">Requirements) and 2016 c 61 s 16 &amp; 2014 c 144 s 4; and</w:t>
      </w:r>
    </w:p>
    <w:p>
      <w:pPr>
        <w:spacing w:before="0" w:after="0" w:line="408" w:lineRule="exact"/>
        <w:ind w:left="0" w:right="0" w:firstLine="576"/>
        <w:jc w:val="left"/>
      </w:pPr>
      <w:r>
        <w:t>(2)</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20,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72f79c7923334b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12b80bbc94e80" /><Relationship Type="http://schemas.openxmlformats.org/officeDocument/2006/relationships/footer" Target="/word/footer.xml" Id="R72f79c7923334b6f" /></Relationships>
</file>