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8d49d539f4a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1739</w:t>
      </w:r>
    </w:p>
    <w:p>
      <w:pPr>
        <w:jc w:val="center"/>
        <w:spacing w:before="480" w:after="0" w:line="240"/>
      </w:pPr>
      <w:r>
        <w:t xml:space="preserve">Chapter </w:t>
      </w:r>
      <w:r>
        <w:rPr/>
        <w:t xml:space="preserve">235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CRIME VICTIMS' COMPENSATION PROGRAM--VARIOUS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3:13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Gregerson, Goodman, Peterson, Orwall, Kilduff, Harris, Ryu, Ortiz-Self, Lovick, Sells, Stonier, Clibborn, Dolan, Sawyer, Stanford, and Jinkins)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victims' compensation program; amending RCW 7.68.020, 7.68.030, 7.68.031, 7.68.062, 7.68.070, and 7.68.111; and reenacting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2011 c 346 s 101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w:t>
      </w:r>
      <w:r>
        <w:rPr>
          <w:u w:val="single"/>
        </w:rPr>
        <w:t xml:space="preserve">"Consumer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u w:val="single"/>
        </w:rPr>
        <w:t xml:space="preserve">(6)</w:t>
      </w:r>
      <w:r>
        <w:rPr/>
        <w:t xml:space="preserve">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w:t>
      </w:r>
      <w:r>
        <w:rPr>
          <w:u w:val="single"/>
        </w:rPr>
        <w:t xml:space="preserve">one of the following applies:</w:t>
      </w:r>
    </w:p>
    <w:p>
      <w:pPr>
        <w:spacing w:before="0" w:after="0" w:line="408" w:lineRule="exact"/>
        <w:ind w:left="0" w:right="0" w:firstLine="576"/>
        <w:jc w:val="left"/>
      </w:pPr>
      <w:r>
        <w:rPr>
          <w:u w:val="single"/>
        </w:rPr>
        <w:t xml:space="preserve">(I) A</w:t>
      </w:r>
      <w:r>
        <w:rPr/>
        <w:t xml:space="preserve"> preponderance of the evidence establishes that the death was the result of vehicular homicide under RCW 46.61.520</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u w:val="single"/>
        </w:rPr>
        <w:t xml:space="preserve">(III) Charges have been filed against the defendant for vehicular assault under RCW 46.61.522;</w:t>
      </w:r>
    </w:p>
    <w:p>
      <w:pPr>
        <w:spacing w:before="0" w:after="0" w:line="408" w:lineRule="exact"/>
        <w:ind w:left="0" w:right="0" w:firstLine="576"/>
        <w:jc w:val="left"/>
      </w:pPr>
      <w:r>
        <w:rPr>
          <w:u w:val="single"/>
        </w:rPr>
        <w:t xml:space="preserve">(IV) A</w:t>
      </w:r>
      <w:r>
        <w:rPr/>
        <w:t xml:space="preserve"> conviction of vehicular assault under RCW 46.61.522</w:t>
      </w:r>
      <w:r>
        <w:t>((</w:t>
      </w:r>
      <w:r>
        <w:rPr>
          <w:strike/>
        </w:rPr>
        <w:t xml:space="preserve">,</w:t>
      </w:r>
      <w:r>
        <w:t>))</w:t>
      </w:r>
      <w:r>
        <w:rPr/>
        <w:t xml:space="preserve"> has been obtained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(V)</w:t>
      </w:r>
      <w:r>
        <w:rPr/>
        <w:t xml:space="preserve">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labor and industries.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support for lost wages" means a partial replacement of lost wages due to a temporary or permanent total disability.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"Gainfully employed" means engaging on a regular and continuous basis in a lawful activity from which a person derives a livelihood.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"Invalid" means one who is physically or mentally incapacitated from earning wages.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2011 c 346 s 206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chapters 18.57A and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w:t>
      </w:r>
      <w:r>
        <w:rPr>
          <w:u w:val="single"/>
        </w:rPr>
        <w:t xml:space="preserve">.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u w:val="single"/>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u w:val="single"/>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u w:val="single"/>
        </w:rPr>
        <w:t xml:space="preserve">(iii) Once sufficient funding is provided or otherwise available, the director shall increase the payments under the fee schedule to not less than payments provided for comparable services under the workers' compensation program</w:t>
      </w:r>
      <w:r>
        <w:rPr/>
        <w:t xml:space="preserve">;</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031</w:t>
      </w:r>
      <w:r>
        <w:rPr/>
        <w:t xml:space="preserve"> and 2013 c 125 s 1 are each amended to read as follows:</w:t>
      </w:r>
    </w:p>
    <w:p>
      <w:pPr>
        <w:spacing w:before="0" w:after="0" w:line="408" w:lineRule="exact"/>
        <w:ind w:left="0" w:right="0" w:firstLine="576"/>
        <w:jc w:val="left"/>
      </w:pPr>
      <w:r>
        <w:rPr/>
        <w:t xml:space="preserve">On all claims under this chapter, claimants' written or electronic notices, orders, or payments must be forwarded directly to the claimant until such time as there has been entered an order on the claim appealable to the </w:t>
      </w:r>
      <w:r>
        <w:t>((</w:t>
      </w:r>
      <w:r>
        <w:rPr>
          <w:strike/>
        </w:rPr>
        <w:t xml:space="preserve">department</w:t>
      </w:r>
      <w:r>
        <w:t>))</w:t>
      </w:r>
      <w:r>
        <w:rPr/>
        <w:t xml:space="preserve"> </w:t>
      </w:r>
      <w:r>
        <w:rPr>
          <w:u w:val="single"/>
        </w:rPr>
        <w:t xml:space="preserve">board of industrial insurance appeals</w:t>
      </w:r>
      <w:r>
        <w:rPr/>
        <w:t xml:space="preserve">. Claimants' written or electronic notices, orders, or payments may be forwarded to the claimant in care of a representative before an order has been entered if the claimant sets forth in writing the name and address of the representative to whom the claimant desires this information to be forwarded.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062</w:t>
      </w:r>
      <w:r>
        <w:rPr/>
        <w:t xml:space="preserve"> and 2011 c 346 s 302 are each amended to read as follows:</w:t>
      </w:r>
    </w:p>
    <w:p>
      <w:pPr>
        <w:spacing w:before="0" w:after="0" w:line="408" w:lineRule="exact"/>
        <w:ind w:left="0" w:right="0" w:firstLine="576"/>
        <w:jc w:val="left"/>
      </w:pPr>
      <w:r>
        <w:rPr/>
        <w:t xml:space="preserve">(1)(a) Where a victim is eligible for compensation under this chapter he or she shall file with the department his or her application for such, together with the certificate of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him or her. An application </w:t>
      </w:r>
      <w:r>
        <w:rPr>
          <w:u w:val="single"/>
        </w:rPr>
        <w:t xml:space="preserve">for compensation</w:t>
      </w:r>
      <w:r>
        <w:rPr/>
        <w:t xml:space="preserve"> form developed by the department shall include a notice specifying the victim's right to receive health services from a </w:t>
      </w:r>
      <w:r>
        <w:t>((</w:t>
      </w:r>
      <w:r>
        <w:rPr>
          <w:strike/>
        </w:rPr>
        <w:t xml:space="preserve">physician or licensed advanced registered nurse practitioner</w:t>
      </w:r>
      <w:r>
        <w:t>))</w:t>
      </w:r>
      <w:r>
        <w:rPr/>
        <w:t xml:space="preserve"> </w:t>
      </w:r>
      <w:r>
        <w:rPr>
          <w:u w:val="single"/>
        </w:rPr>
        <w:t xml:space="preserve">treating provider</w:t>
      </w:r>
      <w:r>
        <w:rPr/>
        <w:t xml:space="preserve"> utilizing his or her private or public insurance or if no insurance, of the victim's choice under RCW 7.68.095.</w:t>
      </w:r>
    </w:p>
    <w:p>
      <w:pPr>
        <w:spacing w:before="0" w:after="0" w:line="408" w:lineRule="exact"/>
        <w:ind w:left="0" w:right="0" w:firstLine="576"/>
        <w:jc w:val="left"/>
      </w:pPr>
      <w:r>
        <w:rPr/>
        <w:t xml:space="preserve">(b)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the injured victim shall inform the injured victim of his or her rights under this chapter and lend all necessary assistance in making this application for compensation and such proof of other matters as required by the rules of the department without charge to the victim.</w:t>
      </w:r>
    </w:p>
    <w:p>
      <w:pPr>
        <w:spacing w:before="0" w:after="0" w:line="408" w:lineRule="exact"/>
        <w:ind w:left="0" w:right="0" w:firstLine="576"/>
        <w:jc w:val="left"/>
      </w:pPr>
      <w:r>
        <w:rPr/>
        <w:t xml:space="preserve">(2) If the application required by this section is filed on behalf of the victim by the </w:t>
      </w:r>
      <w:r>
        <w:t>((</w:t>
      </w:r>
      <w:r>
        <w:rPr>
          <w:strike/>
        </w:rPr>
        <w:t xml:space="preserve">physician</w:t>
      </w:r>
      <w:r>
        <w:t>))</w:t>
      </w:r>
      <w:r>
        <w:rPr/>
        <w:t xml:space="preserve"> </w:t>
      </w:r>
      <w:r>
        <w:rPr>
          <w:u w:val="single"/>
        </w:rPr>
        <w:t xml:space="preserve">treating provider</w:t>
      </w:r>
      <w:r>
        <w:rPr/>
        <w:t xml:space="preserve"> who attended the victim, the </w:t>
      </w:r>
      <w:r>
        <w:t>((</w:t>
      </w:r>
      <w:r>
        <w:rPr>
          <w:strike/>
        </w:rPr>
        <w:t xml:space="preserve">physician</w:t>
      </w:r>
      <w:r>
        <w:t>))</w:t>
      </w:r>
      <w:r>
        <w:rPr/>
        <w:t xml:space="preserve"> </w:t>
      </w:r>
      <w:r>
        <w:rPr>
          <w:u w:val="single"/>
        </w:rPr>
        <w:t xml:space="preserve">treating provider</w:t>
      </w:r>
      <w:r>
        <w:rPr/>
        <w:t xml:space="preserve"> may transmit the application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2011 c 346 s 401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w:t>
      </w:r>
      <w:r>
        <w:rPr>
          <w:u w:val="single"/>
        </w:rPr>
        <w:t xml:space="preserve">Except for medical benefits authorized under RCW 7.68.080, n</w:t>
      </w:r>
      <w:r>
        <w:rPr/>
        <w:t xml:space="preserve">o more than </w:t>
      </w:r>
      <w:r>
        <w:t>((</w:t>
      </w:r>
      <w:r>
        <w:rPr>
          <w:strike/>
        </w:rPr>
        <w:t xml:space="preserve">fifty</w:t>
      </w:r>
      <w:r>
        <w:t>))</w:t>
      </w:r>
      <w:r>
        <w:rPr/>
        <w:t xml:space="preserve"> </w:t>
      </w:r>
      <w:r>
        <w:rPr>
          <w:u w:val="single"/>
        </w:rPr>
        <w:t xml:space="preserve">forty</w:t>
      </w:r>
      <w:r>
        <w:rPr/>
        <w:t xml:space="preserve"> thousand dollars shall be </w:t>
      </w:r>
      <w:r>
        <w:t>((</w:t>
      </w:r>
      <w:r>
        <w:rPr>
          <w:strike/>
        </w:rPr>
        <w:t xml:space="preserve">paid in total per claim, of which nonmedical benefits shall not exceed forty thousand dollars of the entire claim. Benefits may include a combination of burial expenses, financial support for lost wages, and medical expenses</w:t>
      </w:r>
      <w:r>
        <w:t>))</w:t>
      </w:r>
      <w:r>
        <w:rPr/>
        <w:t xml:space="preserve"> </w:t>
      </w:r>
      <w:r>
        <w:rPr>
          <w:u w:val="single"/>
        </w:rPr>
        <w:t xml:space="preserve">granted as a result of a single injury or death</w:t>
      </w:r>
      <w:r>
        <w:rPr/>
        <w:t xml:space="preserve">.</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t>((</w:t>
      </w:r>
      <w:r>
        <w:rPr>
          <w:strike/>
        </w:rPr>
        <w:t xml:space="preserve">(c) Benefits for disposition of remains or burial expenses shall not exceed five thousand seven hundred fifty dollars per claim.</w:t>
      </w:r>
      <w:r>
        <w:t>))</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w:t>
      </w:r>
      <w:r>
        <w:rPr>
          <w:u w:val="single"/>
        </w:rPr>
        <w:t xml:space="preserve">, unless the victim was gainfully employed for a total of at least twelve weeks in the six months preceding the date of the criminal act</w:t>
      </w:r>
      <w:r>
        <w:rPr/>
        <w:t xml:space="preserve">.</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(8)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(9) The benefits for disposition of remains or burial expenses shall not exceed </w:t>
      </w:r>
      <w:r>
        <w:t>((</w:t>
      </w:r>
      <w:r>
        <w:rPr>
          <w:strike/>
        </w:rPr>
        <w:t xml:space="preserve">five</w:t>
      </w:r>
      <w:r>
        <w:t>))</w:t>
      </w:r>
      <w:r>
        <w:rPr/>
        <w:t xml:space="preserve"> </w:t>
      </w:r>
      <w:r>
        <w:rPr>
          <w:u w:val="single"/>
        </w:rPr>
        <w:t xml:space="preserve">six</w:t>
      </w:r>
      <w:r>
        <w:rPr/>
        <w:t xml:space="preserve"> thousand </w:t>
      </w:r>
      <w:r>
        <w:t>((</w:t>
      </w:r>
      <w:r>
        <w:rPr>
          <w:strike/>
        </w:rPr>
        <w:t xml:space="preserve">seven</w:t>
      </w:r>
      <w:r>
        <w:t>))</w:t>
      </w:r>
      <w:r>
        <w:rPr/>
        <w:t xml:space="preserve"> </w:t>
      </w:r>
      <w:r>
        <w:rPr>
          <w:u w:val="single"/>
        </w:rPr>
        <w:t xml:space="preserve">one</w:t>
      </w:r>
      <w:r>
        <w:rPr/>
        <w:t xml:space="preserve"> hundred </w:t>
      </w:r>
      <w:r>
        <w:t>((</w:t>
      </w:r>
      <w:r>
        <w:rPr>
          <w:strike/>
        </w:rPr>
        <w:t xml:space="preserve">fifty</w:t>
      </w:r>
      <w:r>
        <w:t>))</w:t>
      </w:r>
      <w:r>
        <w:rPr/>
        <w:t xml:space="preserve"> </w:t>
      </w:r>
      <w:r>
        <w:rPr>
          <w:u w:val="single"/>
        </w:rPr>
        <w:t xml:space="preserve">seventy</w:t>
      </w:r>
      <w:r>
        <w:rPr/>
        <w:t xml:space="preserve"> dollars per claim </w:t>
      </w:r>
      <w:r>
        <w:t>((</w:t>
      </w:r>
      <w:r>
        <w:rPr>
          <w:strike/>
        </w:rPr>
        <w:t xml:space="preserve">and</w:t>
      </w:r>
      <w:r>
        <w:t>))</w:t>
      </w:r>
      <w:r>
        <w:rPr>
          <w:u w:val="single"/>
        </w:rPr>
        <w:t xml:space="preserve">. Beginning July 1, 2020, the department shall adjust the amount in this subsection (9) for inflation every three years based upon changes in the consumer price index during that time period. T</w:t>
      </w:r>
      <w:r>
        <w:rPr/>
        <w:t xml:space="preserve">o receive reimbursement for expenses related to the disposition of remains or burial, the department must receive an itemized statement from a provider of services within </w:t>
      </w:r>
      <w:r>
        <w:t>((</w:t>
      </w:r>
      <w:r>
        <w:rPr>
          <w:strike/>
        </w:rPr>
        <w:t xml:space="preserve">twelve</w:t>
      </w:r>
      <w:r>
        <w:t>))</w:t>
      </w:r>
      <w:r>
        <w:rPr/>
        <w:t xml:space="preserve"> </w:t>
      </w:r>
      <w:r>
        <w:rPr>
          <w:u w:val="single"/>
        </w:rPr>
        <w:t xml:space="preserve">twenty-four</w:t>
      </w:r>
      <w:r>
        <w:rPr/>
        <w:t xml:space="preserve"> months of the date </w:t>
      </w:r>
      <w:r>
        <w:t>((</w:t>
      </w:r>
      <w:r>
        <w:rPr>
          <w:strike/>
        </w:rPr>
        <w:t xml:space="preserve">upon which the death of the victim is officially recognized as a homicide</w:t>
      </w:r>
      <w:r>
        <w:t>))</w:t>
      </w:r>
      <w:r>
        <w:rPr/>
        <w:t xml:space="preserve"> </w:t>
      </w:r>
      <w:r>
        <w:rPr>
          <w:u w:val="single"/>
        </w:rPr>
        <w:t xml:space="preserve">of the claim allowance</w:t>
      </w:r>
      <w:r>
        <w:rPr/>
        <w:t xml:space="preserve">. If there is a delay in the recovery of remains or the release of remains for disposition or burial, an itemized statement from a provider of services must be received within </w:t>
      </w:r>
      <w:r>
        <w:t>((</w:t>
      </w:r>
      <w:r>
        <w:rPr>
          <w:strike/>
        </w:rPr>
        <w:t xml:space="preserve">twelve</w:t>
      </w:r>
      <w:r>
        <w:t>))</w:t>
      </w:r>
      <w:r>
        <w:rPr/>
        <w:t xml:space="preserve"> </w:t>
      </w:r>
      <w:r>
        <w:rPr>
          <w:u w:val="single"/>
        </w:rPr>
        <w:t xml:space="preserve">twenty-four</w:t>
      </w:r>
      <w:r>
        <w:rPr/>
        <w:t xml:space="preserve"> months of the date of the release of the remains </w:t>
      </w:r>
      <w:r>
        <w:rPr>
          <w:u w:val="single"/>
        </w:rPr>
        <w:t xml:space="preserve">or of the date of the claim allowance, whichever is later</w:t>
      </w:r>
      <w:r>
        <w:rPr/>
        <w:t xml:space="preserve">.</w:t>
      </w:r>
    </w:p>
    <w:p>
      <w:pPr>
        <w:spacing w:before="0" w:after="0" w:line="408" w:lineRule="exact"/>
        <w:ind w:left="0" w:right="0" w:firstLine="576"/>
        <w:jc w:val="left"/>
      </w:pPr>
      <w:r>
        <w:rPr/>
        <w:t xml:space="preserve">(10)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rPr/>
        <w:t xml:space="preserve">(11) Crime victims' compensation is not available to pay for services covered under chapter 74.09 RCW or Title XIX of the federal social security act.</w:t>
      </w:r>
    </w:p>
    <w:p>
      <w:pPr>
        <w:spacing w:before="0" w:after="0" w:line="408" w:lineRule="exact"/>
        <w:ind w:left="0" w:right="0" w:firstLine="576"/>
        <w:jc w:val="left"/>
      </w:pPr>
      <w:r>
        <w:rPr/>
        <w:t xml:space="preserve">(12)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rPr/>
        <w:t xml:space="preserve">(13)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rPr/>
        <w:t xml:space="preserve">(14) The benefits established in RCW 51.32.080 for permanent partial disability will not be provided to any crime victim or for any claim submitted on or after July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2011 1st sp.s. c 15 s 69 and 2011 c 346 s 501 are each reenacted and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w:t>
      </w:r>
      <w:r>
        <w:t>((</w:t>
      </w:r>
      <w:r>
        <w:rPr>
          <w:strike/>
        </w:rPr>
        <w:t xml:space="preserve">by the health care authority</w:t>
      </w:r>
      <w:r>
        <w:t>))</w:t>
      </w:r>
      <w:r>
        <w:rPr/>
        <w:t xml:space="preserve"> </w:t>
      </w:r>
      <w:r>
        <w:rPr>
          <w:u w:val="single"/>
        </w:rPr>
        <w:t xml:space="preserve">for comparable services under the workers' compensation program</w:t>
      </w:r>
      <w:r>
        <w:rPr/>
        <w:t xml:space="preserve"> under Title </w:t>
      </w:r>
      <w:r>
        <w:t>((</w:t>
      </w:r>
      <w:r>
        <w:rPr>
          <w:strike/>
        </w:rPr>
        <w:t xml:space="preserve">74</w:t>
      </w:r>
      <w:r>
        <w:t>))</w:t>
      </w:r>
      <w:r>
        <w:rPr/>
        <w:t xml:space="preserve"> </w:t>
      </w:r>
      <w:r>
        <w:rPr>
          <w:u w:val="single"/>
        </w:rPr>
        <w:t xml:space="preserve">51</w:t>
      </w:r>
      <w:r>
        <w:rPr/>
        <w:t xml:space="preserve"> RCW</w:t>
      </w:r>
      <w:r>
        <w:rPr>
          <w:u w:val="single"/>
        </w:rPr>
        <w:t xml:space="preserve">, except the director shall comply with the requirements of RCW 7.68.030(2)(g) (i) through (iii) when setting service levels and fees, including reducing levels and fees when required</w:t>
      </w:r>
      <w:r>
        <w:rPr/>
        <w:t xml:space="preserve">.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 Immediate family members of a homicide victim may receive appropriate counseling to assist in dealing with the immediate, near</w:t>
      </w:r>
      <w:r>
        <w:rPr/>
        <w:noBreakHyphen/>
      </w:r>
      <w:r>
        <w:rPr/>
        <w:t xml:space="preserve">term consequences of the related effects of the homicide. Up to twelve counseling sessions may be received </w:t>
      </w:r>
      <w:r>
        <w:t>((</w:t>
      </w:r>
      <w:r>
        <w:rPr>
          <w:strike/>
        </w:rPr>
        <w:t xml:space="preserve">for one year</w:t>
      </w:r>
      <w:r>
        <w:t>))</w:t>
      </w:r>
      <w:r>
        <w:rPr/>
        <w:t xml:space="preserve">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(7) Pursuant to RCW 7.68.070(12),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111</w:t>
      </w:r>
      <w:r>
        <w:rPr/>
        <w:t xml:space="preserve"> and 2011 c 346 s 601 are each amended to read as follows:</w:t>
      </w:r>
    </w:p>
    <w:p>
      <w:pPr>
        <w:spacing w:before="0" w:after="0" w:line="408" w:lineRule="exact"/>
        <w:ind w:left="0" w:right="0" w:firstLine="576"/>
        <w:jc w:val="left"/>
      </w:pPr>
      <w:r>
        <w:rPr/>
        <w:t xml:space="preserve">(1)(a) If the victim or beneficiary in a claim prevails in an appeal by any party to the </w:t>
      </w:r>
      <w:r>
        <w:t>((</w:t>
      </w:r>
      <w:r>
        <w:rPr>
          <w:strike/>
        </w:rPr>
        <w:t xml:space="preserve">department</w:t>
      </w:r>
      <w:r>
        <w:t>))</w:t>
      </w:r>
      <w:r>
        <w:rPr/>
        <w:t xml:space="preserve"> </w:t>
      </w:r>
      <w:r>
        <w:rPr>
          <w:u w:val="single"/>
        </w:rPr>
        <w:t xml:space="preserve">board of industrial insurance appeals</w:t>
      </w:r>
      <w:r>
        <w:rPr/>
        <w:t xml:space="preserve"> or the court, the department shall comply with the </w:t>
      </w:r>
      <w:r>
        <w:t>((</w:t>
      </w:r>
      <w:r>
        <w:rPr>
          <w:strike/>
        </w:rPr>
        <w:t xml:space="preserve">department</w:t>
      </w:r>
      <w:r>
        <w:t>))</w:t>
      </w:r>
      <w:r>
        <w:rPr/>
        <w:t xml:space="preserve"> </w:t>
      </w:r>
      <w:r>
        <w:rPr>
          <w:u w:val="single"/>
        </w:rPr>
        <w:t xml:space="preserve">board of industrial insurance appeals</w:t>
      </w:r>
      <w:r>
        <w:rPr/>
        <w:t xml:space="preserve"> or court's order with respect to the payment of compensation within the later of the following time periods:</w:t>
      </w:r>
    </w:p>
    <w:p>
      <w:pPr>
        <w:spacing w:before="0" w:after="0" w:line="408" w:lineRule="exact"/>
        <w:ind w:left="0" w:right="0" w:firstLine="576"/>
        <w:jc w:val="left"/>
      </w:pPr>
      <w:r>
        <w:rPr/>
        <w:t xml:space="preserve">(i) Sixty days after the compensation order has become final and is not subject to review or appeal; or</w:t>
      </w:r>
    </w:p>
    <w:p>
      <w:pPr>
        <w:spacing w:before="0" w:after="0" w:line="408" w:lineRule="exact"/>
        <w:ind w:left="0" w:right="0" w:firstLine="576"/>
        <w:jc w:val="left"/>
      </w:pPr>
      <w:r>
        <w:rPr/>
        <w:t xml:space="preserve">(ii) If the order has become final and is not subject to review or appeal and the department has, within the period specified in (a)(i) of this subsection, requested the filing by the victim or beneficiary of documents necessary to make payment of compensation, sixty days after all requested documents are filed with the department.</w:t>
      </w:r>
    </w:p>
    <w:p>
      <w:pPr>
        <w:spacing w:before="0" w:after="0" w:line="408" w:lineRule="exact"/>
        <w:ind w:left="0" w:right="0" w:firstLine="576"/>
        <w:jc w:val="left"/>
      </w:pPr>
      <w:r>
        <w:rPr/>
        <w:t xml:space="preserve">The department may extend the sixty-day time period for an additional thirty days for good cause.</w:t>
      </w:r>
    </w:p>
    <w:p>
      <w:pPr>
        <w:spacing w:before="0" w:after="0" w:line="408" w:lineRule="exact"/>
        <w:ind w:left="0" w:right="0" w:firstLine="576"/>
        <w:jc w:val="left"/>
      </w:pPr>
      <w:r>
        <w:rPr/>
        <w:t xml:space="preserve">(b) If the department fails to comply with (a) of this subsection, any person eligible for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Thurston county.</w:t>
      </w:r>
    </w:p>
    <w:p>
      <w:pPr>
        <w:spacing w:before="0" w:after="0" w:line="408" w:lineRule="exact"/>
        <w:ind w:left="0" w:right="0" w:firstLine="576"/>
        <w:jc w:val="left"/>
      </w:pPr>
      <w:r>
        <w:rPr/>
        <w:t xml:space="preserve">(2) In a proceeding under this section, the court shall enforce obedience to the order by proper means, enjoining compliance upon the person obligated to comply with the compensation order. The court may issue such writs and processes as are necessary to carry out its orders and may award a penalty of up to one thousand dollars to the person eligible for compensation under the order.</w:t>
      </w:r>
    </w:p>
    <w:p>
      <w:pPr>
        <w:spacing w:before="0" w:after="0" w:line="408" w:lineRule="exact"/>
        <w:ind w:left="0" w:right="0" w:firstLine="576"/>
        <w:jc w:val="left"/>
      </w:pPr>
      <w:r>
        <w:rPr/>
        <w:t xml:space="preserve">(3) A proceeding under this section does not preclude other methods of enforcement provided for in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5860c672e0a342b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5265d97bb84c57" /><Relationship Type="http://schemas.openxmlformats.org/officeDocument/2006/relationships/footer" Target="/word/footer.xml" Id="R5860c672e0a342b5" /></Relationships>
</file>