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593497a2c4d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1777</w:t>
      </w:r>
    </w:p>
    <w:p>
      <w:pPr>
        <w:jc w:val="center"/>
        <w:spacing w:before="480" w:after="0" w:line="240"/>
      </w:pPr>
      <w:r>
        <w:t xml:space="preserve">Chapter </w:t>
      </w:r>
      <w:r>
        <w:rPr/>
        <w:t xml:space="preserve">12</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EARLY LEARNING FACILITIES GRANT AND LOAN PROGRAM--REVOLVING ACCOUNT AND DEVELOPMENT ACCOUNT--CREATION</w:t>
      </w:r>
    </w:p>
    <w:p>
      <w:pPr>
        <w:spacing w:before="720" w:after="240" w:line="240" w:lineRule="exact"/>
        <w:ind w:left="0" w:right="0" w:firstLine="576"/>
        <w:jc w:val="center"/>
      </w:pPr>
      <w:r>
        <w:t xml:space="preserve">EFFECTIVE DATE: </w:t>
      </w:r>
      <w:r>
        <w:rPr/>
        <w:t xml:space="preserve">July 6,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79</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1:59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Kagi, Johnson, Doglio, Dent, Ryu, MacEwen, Senn, Farrell, Nealey, Ortiz-Self, McBride, Macri, Fey, Slatter, and Jinkins)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amending RCW 43.185.050; reenacting and amending RCW 43.84.092; adding new sections to chapter 43.31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2023.</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purchase,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or the early learning facilities development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sections 6 through 12 of this act.</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early learning,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(2) The department must expend moneys from the early learning facilities development account to provide state matching funds for early learning facilities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(3) Funds expended from the accounts as specified in subsections (1) and (2) of this section may fund projects only for:</w:t>
      </w:r>
    </w:p>
    <w:p>
      <w:pPr>
        <w:spacing w:before="0" w:after="0" w:line="408" w:lineRule="exact"/>
        <w:ind w:left="0" w:right="0" w:firstLine="576"/>
        <w:jc w:val="left"/>
      </w:pPr>
      <w:r>
        <w:rPr/>
        <w:t xml:space="preserve">(a) Eligible organizations identified in section 7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(4)(a) Beginning August 1, 2017, the department shall:</w:t>
      </w:r>
    </w:p>
    <w:p>
      <w:pPr>
        <w:spacing w:before="0" w:after="0" w:line="408" w:lineRule="exact"/>
        <w:ind w:left="0" w:right="0" w:firstLine="576"/>
        <w:jc w:val="left"/>
      </w:pPr>
      <w:r>
        <w:rPr/>
        <w:t xml:space="preserve">(i) In consultation with the office of the superintendent of public instruction, implement and administer the early learning facilities grant and loan program for school districts as described in sections 9(3) and 10(1) of this act; and</w:t>
      </w:r>
    </w:p>
    <w:p>
      <w:pPr>
        <w:spacing w:before="0" w:after="0" w:line="408" w:lineRule="exact"/>
        <w:ind w:left="0" w:right="0" w:firstLine="576"/>
        <w:jc w:val="left"/>
      </w:pPr>
      <w:r>
        <w:rPr/>
        <w:t xml:space="preserve">(ii) Contract with one or more nongovernmental private-public partnerships that are certified by the community development financial institutions fund to implement and administer grants and loans funded through the early learning facilities revolving account or for a grant funded through the early learning facilities development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(b) The department may allow the application of an eligible organization for a grant or loan from the early learning facilities revolving account or for a grant from the early learning facilities development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w:t>
      </w:r>
    </w:p>
    <w:p>
      <w:pPr>
        <w:spacing w:before="0" w:after="0" w:line="408" w:lineRule="exact"/>
        <w:ind w:left="0" w:right="0" w:firstLine="576"/>
        <w:jc w:val="left"/>
      </w:pPr>
      <w:r>
        <w:rPr/>
        <w:t xml:space="preserve">(5)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and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section 8(1)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section 8(1) (b) and (c) and (2) of this act,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early learning,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eight hundred thousand dollars to create or expand early learning facilities that received priority and ranking as described in section 10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state funds invested in the early learning facilities grant and loan program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and loan program for eligible organizations, any nongovernmental private-public partnership that is certified by the community development financial institutions fund contracted with the department shall award grants or loans as described in section 8 of this act, that meet the criteria described in section 10 of this act, through an application process or in compliance with state and federal requirements of the funding source.</w:t>
      </w:r>
    </w:p>
    <w:p>
      <w:pPr>
        <w:spacing w:before="0" w:after="0" w:line="408" w:lineRule="exact"/>
        <w:ind w:left="0" w:right="0" w:firstLine="576"/>
        <w:jc w:val="left"/>
      </w:pPr>
      <w:r>
        <w:rPr/>
        <w:t xml:space="preserve">(3) In the administration of the early learning facilities grant and loan program for school districts, the department, in coordination with the office of the superintendent of public instruction, shall submit a ranked and prioritized list of proposed purchases and major construction or renovation of early learning facilities projects for school districts subject to the prioritization methodology described in section 10 of this act to the office of financial management and the relevant legislative committees by December 15, 2017, and by September 15th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to advise the department regarding the prioritization methodology of applications for projects described in section 8 of this act including</w:t>
      </w:r>
      <w:r>
        <w:rPr/>
        <w:t xml:space="preserve"> no less than one representative each from the department of early learning,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funding is provided in the previous biennium, the department, in collaboration with the department of early learning,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w:t>
      </w:r>
      <w:r>
        <w:rPr>
          <w:u w:val="single"/>
        </w:rPr>
        <w:t xml:space="preserve">the early learning facilities development account, the early learning facilities revolving account,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0d268c5868794cf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7c097a4424ca2" /><Relationship Type="http://schemas.openxmlformats.org/officeDocument/2006/relationships/footer" Target="/word/footer.xml" Id="R0d268c5868794cfa" /></Relationships>
</file>