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3bf741ca745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1965</w:t>
      </w:r>
    </w:p>
    <w:p>
      <w:pPr>
        <w:jc w:val="center"/>
        <w:spacing w:before="480" w:after="0" w:line="240"/>
      </w:pPr>
      <w:r>
        <w:t xml:space="preserve">Chapter </w:t>
      </w:r>
      <w:r>
        <w:rPr/>
        <w:t xml:space="preserve">174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FINGERPRINTS AND PALMPRINTS--FIREARM LICENSES--SEX AND KIDNAPPING OFFENDERS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1:31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Lovick and Irwin; by request of Washington State Patrol</w:t>
      </w:r>
    </w:p>
    <w:p/>
    <w:p>
      <w:r>
        <w:rPr>
          <w:t xml:space="preserve">Read first time 02/06/17.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the collection and distribution of criminal records; and amending RCW 9.41.070, 9.41.173, and 9A.44.130.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w:t>
      </w:r>
      <w:r>
        <w:t>((</w:t>
      </w:r>
      <w:r>
        <w:rPr>
          <w:strike/>
        </w:rPr>
        <w:t xml:space="preserve">two</w:t>
      </w:r>
      <w:r>
        <w:t>))</w:t>
      </w:r>
      <w:r>
        <w:rPr/>
        <w:t xml:space="preserve"> </w:t>
      </w:r>
      <w:r>
        <w:rPr>
          <w:u w:val="single"/>
        </w:rPr>
        <w:t xml:space="preserve">a</w:t>
      </w:r>
      <w:r>
        <w:rPr/>
        <w:t xml:space="preserve"> complete set</w:t>
      </w:r>
      <w:r>
        <w:t>((</w:t>
      </w:r>
      <w:r>
        <w:rPr>
          <w:strike/>
        </w:rPr>
        <w:t xml:space="preserve">s</w:t>
      </w:r>
      <w:r>
        <w:t>))</w:t>
      </w:r>
      <w:r>
        <w:rPr/>
        <w:t xml:space="preserve">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and</w:t>
      </w:r>
    </w:p>
    <w:p>
      <w:pPr>
        <w:spacing w:before="0" w:after="0" w:line="408" w:lineRule="exact"/>
        <w:ind w:left="0" w:right="0" w:firstLine="576"/>
        <w:jc w:val="left"/>
      </w:pPr>
      <w:r>
        <w:rPr/>
        <w:t xml:space="preserve">(d) Three dollars to the firearms range account in the general fund.</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and</w:t>
      </w:r>
    </w:p>
    <w:p>
      <w:pPr>
        <w:spacing w:before="0" w:after="0" w:line="408" w:lineRule="exact"/>
        <w:ind w:left="0" w:right="0" w:firstLine="576"/>
        <w:jc w:val="left"/>
      </w:pPr>
      <w:r>
        <w:rPr/>
        <w:t xml:space="preserve">(c) Three dollars to the firearms range account in the general fund.</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(a)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Seven dollars shall be paid to the issuing authority for the purpose of enforcing this chapter.</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2009 c 216 s 3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w:t>
      </w:r>
      <w:r>
        <w:t>((</w:t>
      </w:r>
      <w:r>
        <w:rPr>
          <w:strike/>
        </w:rPr>
        <w:t xml:space="preserve">not more than two</w:t>
      </w:r>
      <w:r>
        <w:t>))</w:t>
      </w:r>
      <w:r>
        <w:rPr/>
        <w:t xml:space="preserve"> </w:t>
      </w:r>
      <w:r>
        <w:rPr>
          <w:u w:val="single"/>
        </w:rPr>
        <w:t xml:space="preserve">a</w:t>
      </w:r>
      <w:r>
        <w:rPr/>
        <w:t xml:space="preserve"> complete set</w:t>
      </w:r>
      <w:r>
        <w:t>((</w:t>
      </w:r>
      <w:r>
        <w:rPr>
          <w:strike/>
        </w:rPr>
        <w:t xml:space="preserve">s</w:t>
      </w:r>
      <w:r>
        <w:t>))</w:t>
      </w:r>
      <w:r>
        <w:rPr/>
        <w:t xml:space="preserve">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department of social and health services,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2015 c 261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w:t>
      </w:r>
      <w:r>
        <w:rPr>
          <w:u w:val="single"/>
        </w:rPr>
        <w:t xml:space="preserve">, which may include palmprints</w:t>
      </w:r>
      <w:r>
        <w:rPr/>
        <w:t xml:space="preserve">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w:t>
      </w:r>
      <w:r>
        <w:t>((</w:t>
      </w:r>
      <w:r>
        <w:rPr>
          <w:strike/>
        </w:rPr>
        <w:t xml:space="preserve">and</w:t>
      </w:r>
      <w:r>
        <w:t>))</w:t>
      </w:r>
      <w:r>
        <w:rPr>
          <w:u w:val="single"/>
        </w:rPr>
        <w:t xml:space="preserve">,</w:t>
      </w:r>
      <w:r>
        <w:rPr/>
        <w:t xml:space="preserve"> fingerprints</w:t>
      </w:r>
      <w:r>
        <w:rPr>
          <w:u w:val="single"/>
        </w:rPr>
        <w:t xml:space="preserve">, and palmprints</w:t>
      </w:r>
      <w:r>
        <w:rPr/>
        <w:t xml:space="preserve">.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(4)(a)(vi) or (vii) and (6) of this section.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15f8fe87811c42a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ca01e495a45ee" /><Relationship Type="http://schemas.openxmlformats.org/officeDocument/2006/relationships/footer" Target="/word/footer.xml" Id="R15f8fe87811c42a6" /></Relationships>
</file>