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4d30a7cfbc44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2528</w:t>
      </w:r>
    </w:p>
    <w:p>
      <w:pPr>
        <w:jc w:val="center"/>
        <w:spacing w:before="480" w:after="0" w:line="240"/>
      </w:pPr>
      <w:r>
        <w:t xml:space="preserve">Chapter </w:t>
      </w:r>
      <w:r>
        <w:rPr/>
        <w:t xml:space="preserve">26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ELECTIONS--CONTINUITY OF OPERATIONS PLANS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2528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9, 2018 1:55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2528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Public Safety (originally sponsored by Representatives Hudgins and Wylie)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coordination of continuity of operations efforts for elections; amending RCW 38.52.030;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2017, the federal department of homeland security designated election infrastructure as part of our nation's critical infrastructure. Elections play a vital role in our democracy, and it is important that election administrators are able to continue election operations during emergencies. Given the federal designation of election infrastructure as critical infrastructure, counties should maintain a continuity of operations plan for the continuity of elections and the full execution of essential election operations in emergencies.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2015 c 61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(5)</w:t>
      </w:r>
      <w:r>
        <w:t>))</w:t>
      </w:r>
      <w:r>
        <w:rPr/>
        <w:t xml:space="preserve"> </w:t>
      </w:r>
      <w:r>
        <w:rPr>
          <w:u w:val="single"/>
        </w:rPr>
        <w:t xml:space="preserve">(6)</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u w:val="single"/>
        </w:rPr>
        <w:t xml:space="preserve">(12) The director shall maintain a copy of the continuity of operations plan for election operations for each county that has a plan available.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5a204f49c376495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86a75065bb43cd" /><Relationship Type="http://schemas.openxmlformats.org/officeDocument/2006/relationships/footer" Target="/word/footer.xml" Id="R5a204f49c3764953" /></Relationships>
</file>