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0f84459e146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2777</w:t>
      </w:r>
    </w:p>
    <w:p>
      <w:pPr>
        <w:jc w:val="center"/>
        <w:spacing w:before="480" w:after="0" w:line="240"/>
      </w:pPr>
      <w:r>
        <w:t xml:space="preserve">Chapter </w:t>
      </w:r>
      <w:r>
        <w:rPr/>
        <w:t xml:space="preserve">174</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BOARD OF TAX APPEALS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11:03 AM with the exception of sections 6, 8, 11, 17 and 18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 Jinkins</w:t>
      </w:r>
    </w:p>
    <w:p/>
    <w:p>
      <w:r>
        <w:rPr>
          <w:t xml:space="preserve">Read first time 01/16/18.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updating administrative provisions related to the board of tax appeals; amending RCW 82.03.020, 82.03.030, 82.03.040, 82.03.050, 82.03.060, 82.03.070, 82.03.080, 82.03.090, 82.03.100, 82.03.110, 82.03.120, 82.03.140, 82.03.150, 82.03.160, and 82.03.170; adding new sections to chapter 82.03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rPr>
          <w:u w:val="single"/>
        </w:rPr>
        <w:t xml:space="preserve">and</w:t>
      </w:r>
      <w:r>
        <w:rPr/>
        <w:t xml:space="preserve"> a clerk</w:t>
      </w:r>
      <w:r>
        <w:t>((</w:t>
      </w:r>
      <w:r>
        <w:rPr>
          <w:strike/>
        </w:rPr>
        <w:t xml:space="preserve">, and</w:t>
      </w:r>
      <w:r>
        <w:t>))</w:t>
      </w:r>
      <w:r>
        <w:rPr>
          <w:u w:val="single"/>
        </w:rPr>
        <w:t xml:space="preserve">. The board may appoint</w:t>
      </w:r>
      <w:r>
        <w:rPr/>
        <w:t xml:space="preserve"> such other clerical, professional and technical assistants as may be necessary.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0" w:after="0" w:line="408" w:lineRule="exact"/>
        <w:ind w:left="0" w:right="0" w:firstLine="576"/>
        <w:jc w:val="left"/>
      </w:pPr>
      <w:r>
        <w:rPr>
          <w:u w:val="single"/>
        </w:rPr>
        <w:t xml:space="preserve">(2) The board must maintain at least five tax referees, of which two must be active or judicial members of the Washington state bar association and three must be state-certified general real estate appraisers, as defined in RCW 18.140.010(22).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(1)(a) Except as otherwise specifically provided by statute, the board:</w:t>
      </w:r>
    </w:p>
    <w:p>
      <w:pPr>
        <w:spacing w:before="0" w:after="0" w:line="408" w:lineRule="exact"/>
        <w:ind w:left="0" w:right="0" w:firstLine="576"/>
        <w:jc w:val="left"/>
      </w:pPr>
      <w:r>
        <w:rPr/>
        <w:t xml:space="preserve">(i) Must award a qualified party that prevails in a formal hearing from a department of revenue action fees and other expenses, including reasonable attorneys' fees, unless the board finds that the department of revenue's action was substantially justified or that circumstances make an award unjust;</w:t>
      </w:r>
    </w:p>
    <w:p>
      <w:pPr>
        <w:spacing w:before="0" w:after="0" w:line="408" w:lineRule="exact"/>
        <w:ind w:left="0" w:right="0" w:firstLine="576"/>
        <w:jc w:val="left"/>
      </w:pPr>
      <w:r>
        <w:rPr/>
        <w:t xml:space="preserve">(ii) May award a qualified party that prevails in a formal hearing from a board of equalization action fees and other expenses, including reasonable attorneys' fees, unless the board finds that the board of equalization's action was substantially justified or that circumstances make an award unjust.</w:t>
      </w:r>
    </w:p>
    <w:p>
      <w:pPr>
        <w:spacing w:before="0" w:after="0" w:line="408" w:lineRule="exact"/>
        <w:ind w:left="0" w:right="0" w:firstLine="576"/>
        <w:jc w:val="left"/>
      </w:pPr>
      <w:r>
        <w:rPr/>
        <w:t xml:space="preserve">(b)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 with the exception of certain items that were vetoed.</w:t>
      </w:r>
    </w:p>
    <w:p>
      <w:pPr>
        <w:spacing w:before="0" w:after="0" w:line="408" w:lineRule="exact"/>
        <w:ind w:left="0" w:right="0" w:firstLine="576"/>
        <w:jc w:val="left"/>
      </w:pPr>
      <w:r>
        <w:rPr/>
        <w:t xml:space="preserve">Filed in Office of Secretary of State March 26,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6, 8, 11, 17, and 18, Engrossed House Bill No. 2777 entitled:</w:t>
      </w:r>
    </w:p>
    <w:p>
      <w:pPr>
        <w:spacing w:before="120" w:after="0" w:line="408" w:lineRule="exact"/>
        <w:ind w:left="0" w:right="0" w:firstLine="576"/>
        <w:jc w:val="left"/>
      </w:pPr>
      <w:r>
        <w:rPr/>
        <w:t xml:space="preserve">"AN ACT Relating to improving and updating administrative provisions related to the board of tax appeals."</w:t>
      </w:r>
    </w:p>
    <w:p>
      <w:pPr>
        <w:spacing w:before="120" w:after="0" w:line="408" w:lineRule="exact"/>
        <w:ind w:left="0" w:right="0" w:firstLine="0"/>
        <w:jc w:val="left"/>
      </w:pPr>
      <w:r>
        <w:rPr/>
        <w:t xml:space="preserve">Section 6 mandates the number of tax referees the Board must maintain. I have concerns that mandating the Board to hire a specific number of staff could change the Board's ability to be flexible with future budgetary decisions needed to reduce the backlog.</w:t>
      </w:r>
    </w:p>
    <w:p>
      <w:pPr>
        <w:spacing w:before="120" w:after="0" w:line="408" w:lineRule="exact"/>
        <w:ind w:left="0" w:right="0" w:firstLine="0"/>
        <w:jc w:val="left"/>
      </w:pPr>
      <w:r>
        <w:rPr/>
        <w:t xml:space="preserve">Section 8 requires the Board to hold regular meetings on both sides of the Cascade. Although I agree with providing this access, we must continue to work towards using technology to find other ways of convening and providing access to all citizens.</w:t>
      </w:r>
    </w:p>
    <w:p>
      <w:pPr>
        <w:spacing w:before="120" w:after="0" w:line="408" w:lineRule="exact"/>
        <w:ind w:left="0" w:right="0" w:firstLine="0"/>
        <w:jc w:val="left"/>
      </w:pPr>
      <w:r>
        <w:rPr/>
        <w:t xml:space="preserve">Section 11 requires the Department of Revenue to adhere to precedential rulings by the Board of Tax Appeals, but does not differentiate between formal and informal proceedings. This leaves open the possibility for precedential rulings handed down by the Board of Tax Appeals that are exempt from appeals.</w:t>
      </w:r>
    </w:p>
    <w:p>
      <w:pPr>
        <w:spacing w:before="120" w:after="0" w:line="408" w:lineRule="exact"/>
        <w:ind w:left="0" w:right="0" w:firstLine="0"/>
        <w:jc w:val="left"/>
      </w:pPr>
      <w:r>
        <w:rPr/>
        <w:t xml:space="preserve">Section 17 mandates settlement conferences and providing a mediation process. I have concerns with the practical application of requiring attendance at a settlement conference. The Board of Tax Appeals is able to offer voluntary mediation services, per stakeholder demands, without requiring legislation.</w:t>
      </w:r>
    </w:p>
    <w:p>
      <w:pPr>
        <w:spacing w:before="120" w:after="0" w:line="408" w:lineRule="exact"/>
        <w:ind w:left="0" w:right="0" w:firstLine="0"/>
        <w:jc w:val="left"/>
      </w:pPr>
      <w:r>
        <w:rPr/>
        <w:t xml:space="preserve">Section 18 requires the Board to award attorney's fees and costs. Typically, the authority to grant attorney's fees and costs is limited to courts and not given to one executive agency with respect to another. There also appears to be an unintended drafting error that would require local boards of equalization to pay attorney's fees and expenses rather than the county assessor which is party to the action.</w:t>
      </w:r>
    </w:p>
    <w:p>
      <w:pPr>
        <w:spacing w:before="120" w:after="0" w:line="408" w:lineRule="exact"/>
        <w:ind w:left="0" w:right="0" w:firstLine="0"/>
        <w:jc w:val="left"/>
      </w:pPr>
      <w:r>
        <w:rPr/>
        <w:t xml:space="preserve">Finally, the Department of Revenue and Office of the Attorney General will have a fiscal impact of $1.2 million in fiscal year 2019 and $2.2 million in the 2019-21 biennium. Both agencies did not receive the funding needed to fulfill the duties of this bill in the 2018 Supplemental Budget.</w:t>
      </w:r>
    </w:p>
    <w:p>
      <w:pPr>
        <w:spacing w:before="120" w:after="0" w:line="408" w:lineRule="exact"/>
        <w:ind w:left="0" w:right="0" w:firstLine="0"/>
        <w:jc w:val="left"/>
      </w:pPr>
      <w:r>
        <w:rPr/>
        <w:t xml:space="preserve">For these reasons I have vetoed Sections 6, 8, 11, 17, and 18 of Engrossed House Bill No. 2777.</w:t>
      </w:r>
    </w:p>
    <w:p>
      <w:pPr>
        <w:spacing w:before="120" w:after="0" w:line="408" w:lineRule="exact"/>
        <w:ind w:left="0" w:right="0" w:firstLine="0"/>
        <w:jc w:val="left"/>
      </w:pPr>
      <w:r>
        <w:rPr/>
        <w:t xml:space="preserve">With the exception of Sections 6, 8, 11, 17, and 18, Engrossed House Bill No. 2777 is approved."</w:t>
      </w:r>
    </w:p>
    <w:sectPr>
      <w:pgNumType w:start="1"/>
      <w:footerReference xmlns:r="http://schemas.openxmlformats.org/officeDocument/2006/relationships" r:id="Re29f4d72aefd45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aee2dbb4c4b78" /><Relationship Type="http://schemas.openxmlformats.org/officeDocument/2006/relationships/footer" Target="/word/footer.xml" Id="Re29f4d72aefd459f" /></Relationships>
</file>