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46200a18554c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2824</w:t>
      </w:r>
    </w:p>
    <w:p>
      <w:pPr>
        <w:jc w:val="center"/>
        <w:spacing w:before="480" w:after="0" w:line="240"/>
      </w:pPr>
      <w:r>
        <w:t xml:space="preserve">Chapter </w:t>
      </w:r>
      <w:r>
        <w:rPr/>
        <w:t xml:space="preserve">177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SUPERINTENDENT OF PUBLIC INSTRUCTION AND STATE BOARD OF EDUCATION</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201, 202, 501, 503, 504, and 701, which become effective January 1, 2019; and sections 502 and 507, which become effective 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11:12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Harris, Dolan, and Muri; by request of State Board of Education and Superintendent of Public Instruction)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exchange and alignment of specific powers, duties, and functions of the superintendent of public instruction and the state board of education;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new sections to chapter 28A.300 RCW; adding a new section to chapter 28A.305 RCW; creating a new section; recodifying RCW 28A.305.140; repealing RCW 28A.305.141 and 28A.305.142;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w:t>
      </w:r>
      <w:r>
        <w:rPr>
          <w:u w:val="single"/>
        </w:rPr>
        <w:t xml:space="preserve">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u w:val="single"/>
        </w:rPr>
        <w:t xml:space="preserve">(12)</w:t>
      </w:r>
      <w:r>
        <w:rPr/>
        <w:t xml:space="preserve"> The superintendent shall consider methods to address the unique needs of special education students when developing the assessments under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superintendent shall consider methods to address the unique needs of highly capable students when developing the assessments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superintendent shall post on the superintendent's web site lists of resources and model assessments in social studies, the arts, and health and fitness.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(17)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from the provisions of RCW 28A.150.220(3)(b)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from the provisions of RCW 28A.150.220(3)(b) and to grant the waivers set forth in RCW 28A.230.090(1)(e)(ii)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(as recodified by this act),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with student populations of less than five hundred students. Of the five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of the house of representatives and the senate summaries of all waiver applications submitted to the superintendent of public instruction for the prior school year under RCW 28A.305.140 (as recodified by this act),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chapter . . ., Laws of 2018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2018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chapter . . ., Laws of 2018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is recodified as a section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504, and 701 of this act take effect January 1, 2019.</w:t>
      </w:r>
    </w:p>
    <w:p>
      <w:pPr>
        <w:spacing w:before="0" w:after="0" w:line="408" w:lineRule="exact"/>
        <w:ind w:left="0" w:right="0" w:firstLine="576"/>
        <w:jc w:val="left"/>
      </w:pPr>
      <w:r>
        <w:rPr/>
        <w:t xml:space="preserve">(2) Sections 502 and 507 of this act take effect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09d25fadb8e645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51a1d56284f7b" /><Relationship Type="http://schemas.openxmlformats.org/officeDocument/2006/relationships/footer" Target="/word/footer.xml" Id="R09d25fadb8e645d1" /></Relationships>
</file>