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98095259440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5237</w:t>
      </w:r>
    </w:p>
    <w:p>
      <w:pPr>
        <w:jc w:val="center"/>
        <w:spacing w:before="480" w:after="0" w:line="240"/>
      </w:pPr>
      <w:r>
        <w:t xml:space="preserve">Chapter </w:t>
      </w:r>
      <w:r>
        <w:rPr/>
        <w:t xml:space="preserve">39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WORKFORCE INVESTMENT ACT--REFERENCES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11:36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Wilson, Chase, Rivers, Keiser, Rolfes, Zeiger, and Kuderer; by request of Workforce Training and Education Coordinating Board</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 74.13.036</w:t>
      </w:r>
      <w:r>
        <w:t>))</w:t>
      </w:r>
      <w:r>
        <w:rPr/>
        <w:t xml:space="preserve"> </w:t>
      </w:r>
      <w:r>
        <w:rPr>
          <w:u w:val="single"/>
        </w:rPr>
        <w:t xml:space="preserve">43.185C.295 through 43.185C.310</w:t>
      </w:r>
      <w:r>
        <w:rPr/>
        <w:t xml:space="preserve">;</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59867e76473346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ebf45e4e94dd3" /><Relationship Type="http://schemas.openxmlformats.org/officeDocument/2006/relationships/footer" Target="/word/footer.xml" Id="R59867e7647334647" /></Relationships>
</file>