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a36aaa28242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5359</w:t>
      </w:r>
    </w:p>
    <w:p>
      <w:pPr>
        <w:jc w:val="center"/>
        <w:spacing w:before="480" w:after="0" w:line="240"/>
      </w:pPr>
      <w:r>
        <w:t xml:space="preserve">Chapter </w:t>
      </w:r>
      <w:r>
        <w:rPr/>
        <w:t xml:space="preserve">184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MILITARY SERVICE MEMBERS--PROFESSIONAL LICENSING STREAMLINING--REPORTS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1:52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Conway, Zeiger, Bailey, Rolfes, Hobbs, and Kuderer</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annual reporting on the implementation of laws to streamline licensing processes for military service members and their spouses; and amending RCW 73.04.150.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2005 c 141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u w:val="single"/>
        </w:rPr>
        <w:t xml:space="preserve">(6) The regulating authorities for the department of licensing and the department of health shall file reports to the legislature biennially and the Washington state military transition council annually beginning January 1, 2018, and appear annually before the joint committee on veterans' and military affairs, to provide updates on progress in their efforts to implement the requirements of chapter 18.340 RCW, chapter 32, Laws of 2011, and chapter 351, Laws of 2011.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98a2b811641a4b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418824e1c4aa6" /><Relationship Type="http://schemas.openxmlformats.org/officeDocument/2006/relationships/footer" Target="/word/footer.xml" Id="R98a2b811641a4bcc" /></Relationships>
</file>