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b39eb85d94d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5435</w:t>
      </w:r>
    </w:p>
    <w:p>
      <w:pPr>
        <w:jc w:val="center"/>
        <w:spacing w:before="480" w:after="0" w:line="240"/>
      </w:pPr>
      <w:r>
        <w:t xml:space="preserve">Chapter </w:t>
      </w:r>
      <w:r>
        <w:rPr/>
        <w:t xml:space="preserve">325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MENTAL HEALTH INFORMATION DISCLOSURE--CARE COORDINATION</w:t>
      </w:r>
    </w:p>
    <w:p>
      <w:pPr>
        <w:spacing w:before="720" w:after="240" w:line="240" w:lineRule="exact"/>
        <w:ind w:left="0" w:right="0" w:firstLine="576"/>
        <w:jc w:val="left"/>
      </w:pPr>
      <w:r>
        <w:t xml:space="preserve">EFFECTIVE DATE: </w:t>
      </w:r>
      <w:r>
        <w:rPr/>
        <w:t xml:space="preserve">7/23/2017 -- Except for section 2, which becomes effective 4/1/2018.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Rivers, Cleveland, and Darneille)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e94b3d67fd214f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5b382a4194882" /><Relationship Type="http://schemas.openxmlformats.org/officeDocument/2006/relationships/footer" Target="/word/footer.xml" Id="Re94b3d67fd214ffb" /></Relationships>
</file>