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9280cabe5a45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5474</w:t>
      </w:r>
    </w:p>
    <w:p>
      <w:pPr>
        <w:jc w:val="center"/>
        <w:spacing w:before="480" w:after="0" w:line="240"/>
      </w:pPr>
      <w:r>
        <w:t xml:space="preserve">Chapter </w:t>
      </w:r>
      <w:r>
        <w:rPr/>
        <w:t xml:space="preserve">159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ELK HOOF DISEASE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5474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11:18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 Pearson)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initiating proactive steps to address elk hoof disease; amending RCW 77.12.047; adding a new section to chapter 77.12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elk hoof disease poses a significant threat to the state, including elk populations and livestock. While the legislature recognizes the efforts of the department of fish and wildlife thus far, more aggressive steps are necessary to achieve a better understanding of the hoof disease epidemic facing the state's elk populations and to ensure proactive management and treatment actions are pursued.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2001 c 253 s 14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w:t>
      </w:r>
      <w:r>
        <w:rPr>
          <w:u w:val="single"/>
        </w:rPr>
        <w:t xml:space="preserve">However,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u w:val="single"/>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u w:val="single"/>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w:t>
      </w:r>
      <w:r>
        <w:rPr>
          <w:u w:val="single"/>
        </w:rPr>
        <w:t xml:space="preserve">(a)</w:t>
      </w:r>
      <w:r>
        <w:rPr/>
        <w:t xml:space="preserve">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u w:val="single"/>
        </w:rPr>
        <w:t xml:space="preserve">(b)</w:t>
      </w:r>
      <w:r>
        <w:rPr/>
        <w:t xml:space="preserve">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legislature designates Washington State University college of veterinary medicine as the state lead in developing a program to monitor and assess causes of and potential solutions for elk hoof disease. The college must establish an elk monitoring system in southwest Washington in order to carry out this mission. In conducting this work, the college must work collaboratively with entities including the department, the state veterinarian, and any tribes with interest in participating. The college must provide regular updates, at minimum on an annual basis, to the appropriate committees of the legislature and the commission on its findings, program needs, and any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immediately adopt or amend any rule as necessary to implement, and ensure rules are consistent with,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0df1170473f249b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96f66818d343a9" /><Relationship Type="http://schemas.openxmlformats.org/officeDocument/2006/relationships/footer" Target="/word/footer.xml" Id="R0df1170473f249b5" /></Relationships>
</file>