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41db3119a4b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6221</w:t>
      </w:r>
    </w:p>
    <w:p>
      <w:pPr>
        <w:jc w:val="center"/>
        <w:spacing w:before="480" w:after="0" w:line="240"/>
      </w:pPr>
      <w:r>
        <w:t xml:space="preserve">Chapter </w:t>
      </w:r>
      <w:r>
        <w:rPr/>
        <w:t xml:space="preserve">76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WASHINGTON ACHIEVING A BETTER LIFE EXPERIENCE PROGRAM ACCOUNT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11:37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Walsh and Darneille; by request of Department of Commerce)</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 </w:t>
      </w:r>
      <w:r>
        <w:rPr>
          <w:u w:val="single"/>
        </w:rPr>
        <w:t xml:space="preserve">under authority that the state treasurer shall delegate pursuant to RCW 43.08.015 with the concurrence of the office of financial management</w:t>
      </w:r>
      <w:r>
        <w:rPr/>
        <w:t xml:space="preserve">.</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f1fa7030938f48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de210690146e8" /><Relationship Type="http://schemas.openxmlformats.org/officeDocument/2006/relationships/footer" Target="/word/footer.xml" Id="Rf1fa7030938f486f" /></Relationships>
</file>