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204ade287e4f6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6309</w:t>
      </w:r>
    </w:p>
    <w:p>
      <w:pPr>
        <w:jc w:val="center"/>
        <w:spacing w:before="480" w:after="0" w:line="240"/>
      </w:pPr>
      <w:r>
        <w:t xml:space="preserve">Chapter </w:t>
      </w:r>
      <w:r>
        <w:rPr/>
        <w:t xml:space="preserve">77</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FAMILY ASSESSMENT RESPONSE--TIMELINE</w:t>
      </w:r>
    </w:p>
    <w:p>
      <w:pPr>
        <w:spacing w:before="720" w:after="240" w:line="240" w:lineRule="exact"/>
        <w:ind w:left="0" w:right="0" w:firstLine="576"/>
        <w:jc w:val="center"/>
      </w:pPr>
      <w:r>
        <w:t xml:space="preserve">EFFECTIVE DATE: </w:t>
      </w:r>
      <w:r>
        <w:rPr/>
        <w:t xml:space="preserve">July 1,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12, 2018</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6309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15, 2018 11:39 AM</w:t>
            </w:r>
          </w:p>
        </w:tc>
        <w:tc>
          <w:tcPr>
            <w:tcW w:w="4560" w:type="dxa"/>
            <w:vAlign w:val="top"/>
          </w:tcPr>
          <w:p>
            <w:pPr>
              <w:jc w:val="center"/>
            </w:pPr>
            <w:r>
              <w:rPr>
                <w:t xml:space="preserve">FILED</w:t>
              </w:rPr>
            </w:r>
          </w:p>
          <w:p>
            <w:pPr>
              <w:jc w:val="center"/>
            </w:pPr>
            <w:r>
              <w:rPr>
                <w:rFonts w:ascii="Times New Roman" w:hAnsi="Times New Roman"/>
                <w:sz w:val="20"/>
              </w:rPr>
              <w:t xml:space="preserve">March 16,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6309</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Ways &amp; Means (originally sponsored by Senators Darneille, Miloscia, O'Ban, Rivers, Frockt, and Hunt)</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timeline for completing a family assessment response; reenacting and amending RCW 26.44.030;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2017 3rd sp.s. c 20 s 24 and 2017 3rd sp.s. c 6 s 322 are each reenacted and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children, youth, and families, licensed or certified child care providers or their employees, employee of the department of social and health services, juvenile probation officer, placement and liaison specialist, responsible living skills program staff, HOPE center staff, state family and children's ombuds or any volunteer in the ombuds's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(11)(a)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Poses a risk of "imminent harm" consistent with the definition provided in RCW 13.34.050, which includes, but is not limited to, sexual abuse and sexual exploitation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w:t>
      </w:r>
    </w:p>
    <w:p>
      <w:pPr>
        <w:spacing w:before="0" w:after="0" w:line="408" w:lineRule="exact"/>
        <w:ind w:left="0" w:right="0" w:firstLine="576"/>
        <w:jc w:val="left"/>
      </w:pPr>
      <w:r>
        <w:rPr/>
        <w:t xml:space="preserve">(c)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(12)(a)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(13)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however, upon parental agreement, the family assessment response period may be extended up to </w:t>
      </w:r>
      <w:r>
        <w:t>((</w:t>
      </w:r>
      <w:r>
        <w:rPr>
          <w:strike/>
        </w:rPr>
        <w:t xml:space="preserve">ninety</w:t>
      </w:r>
      <w:r>
        <w:t>))</w:t>
      </w:r>
      <w:r>
        <w:rPr/>
        <w:t xml:space="preserve"> </w:t>
      </w:r>
      <w:r>
        <w:rPr>
          <w:u w:val="single"/>
        </w:rPr>
        <w:t xml:space="preserve">one hundred twenty</w:t>
      </w:r>
      <w:r>
        <w:rPr/>
        <w:t xml:space="preserve"> days</w:t>
      </w:r>
      <w:r>
        <w:rPr>
          <w:u w:val="single"/>
        </w:rPr>
        <w:t xml:space="preserve">. The department's extension of the family assessment response period must be operated within the department's appropriations</w:t>
      </w:r>
      <w:r>
        <w:rPr/>
        <w:t xml:space="preserve">;</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agree to participate in services before services are initiated. The department shall inform the parents of their rights under family assessment response, all of their options, and the options the department has if the parents do not agree to participate in services.</w:t>
      </w:r>
    </w:p>
    <w:p>
      <w:pPr>
        <w:spacing w:before="0" w:after="0" w:line="408" w:lineRule="exact"/>
        <w:ind w:left="0" w:right="0" w:firstLine="576"/>
        <w:jc w:val="left"/>
      </w:pPr>
      <w:r>
        <w:rPr/>
        <w:t xml:space="preserve">(14)(a)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(15)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(16)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(17)(a)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(18)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(19)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(20)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(21)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0" w:after="0" w:line="408" w:lineRule="exact"/>
        <w:ind w:left="0" w:right="0" w:firstLine="576"/>
        <w:jc w:val="left"/>
      </w:pPr>
      <w:r>
        <w:rPr/>
        <w:t xml:space="preserve">(22) The department shall make available on its public web site a downloadable and printable poster that includes the reporting requirements included in this section. The poster must be no smaller than eight and one-half by eleven inches with all information on one side. The poster must be made available in both the English and Spanish languages. Organizations that include employees or volunteers subject to the reporting requirements of this section must clearly display this poster in a common area. At a minimum, this poster must include the following:</w:t>
      </w:r>
    </w:p>
    <w:p>
      <w:pPr>
        <w:spacing w:before="0" w:after="0" w:line="408" w:lineRule="exact"/>
        <w:ind w:left="0" w:right="0" w:firstLine="576"/>
        <w:jc w:val="left"/>
      </w:pPr>
      <w:r>
        <w:rPr/>
        <w:t xml:space="preserve">(a) Who is required to report child abuse and neglect;</w:t>
      </w:r>
    </w:p>
    <w:p>
      <w:pPr>
        <w:spacing w:before="0" w:after="0" w:line="408" w:lineRule="exact"/>
        <w:ind w:left="0" w:right="0" w:firstLine="576"/>
        <w:jc w:val="left"/>
      </w:pPr>
      <w:r>
        <w:rPr/>
        <w:t xml:space="preserve">(b) The standard of knowledge to justify a report;</w:t>
      </w:r>
    </w:p>
    <w:p>
      <w:pPr>
        <w:spacing w:before="0" w:after="0" w:line="408" w:lineRule="exact"/>
        <w:ind w:left="0" w:right="0" w:firstLine="576"/>
        <w:jc w:val="left"/>
      </w:pPr>
      <w:r>
        <w:rPr/>
        <w:t xml:space="preserve">(c) The definition of reportable crimes;</w:t>
      </w:r>
    </w:p>
    <w:p>
      <w:pPr>
        <w:spacing w:before="0" w:after="0" w:line="408" w:lineRule="exact"/>
        <w:ind w:left="0" w:right="0" w:firstLine="576"/>
        <w:jc w:val="left"/>
      </w:pPr>
      <w:r>
        <w:rPr/>
        <w:t xml:space="preserve">(d) Where to report suspected child abuse and neglect; and</w:t>
      </w:r>
    </w:p>
    <w:p>
      <w:pPr>
        <w:spacing w:before="0" w:after="0" w:line="408" w:lineRule="exact"/>
        <w:ind w:left="0" w:right="0" w:firstLine="576"/>
        <w:jc w:val="left"/>
      </w:pPr>
      <w:r>
        <w:rPr/>
        <w:t xml:space="preserve">(e) What should be included in a report and the appropriate timing.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12, 2018.</w:t>
      </w:r>
    </w:p>
    <w:p>
      <w:pPr>
        <w:spacing w:before="0" w:after="0" w:line="408" w:lineRule="exact"/>
        <w:ind w:left="0" w:right="0" w:firstLine="576"/>
        <w:jc w:val="left"/>
      </w:pPr>
      <w:r>
        <w:rPr/>
        <w:t xml:space="preserve">Passed by the House February 28, 2018.</w:t>
      </w:r>
    </w:p>
    <w:p>
      <w:pPr>
        <w:spacing w:before="0" w:after="0" w:line="408" w:lineRule="exact"/>
        <w:ind w:left="0" w:right="0" w:firstLine="576"/>
        <w:jc w:val="left"/>
      </w:pPr>
      <w:r>
        <w:rPr/>
        <w:t xml:space="preserve">Approved by the Governor March 15, 2018.</w:t>
      </w:r>
    </w:p>
    <w:p>
      <w:pPr>
        <w:spacing w:before="0" w:after="0" w:line="408" w:lineRule="exact"/>
        <w:ind w:left="0" w:right="0" w:firstLine="576"/>
        <w:jc w:val="left"/>
      </w:pPr>
      <w:r>
        <w:rPr/>
        <w:t xml:space="preserve">Filed in Office of Secretary of State March 16, 2018.</w:t>
      </w:r>
    </w:p>
    <w:sectPr>
      <w:pgNumType w:start="1"/>
      <w:footerReference xmlns:r="http://schemas.openxmlformats.org/officeDocument/2006/relationships" r:id="R0a62b1c7645d47b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6309.SL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392b73065f4e0b" /><Relationship Type="http://schemas.openxmlformats.org/officeDocument/2006/relationships/footer" Target="/word/footer.xml" Id="R0a62b1c7645d47b7" /></Relationships>
</file>