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4efde7c8d41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6367</w:t>
      </w:r>
    </w:p>
    <w:p>
      <w:pPr>
        <w:jc w:val="center"/>
        <w:spacing w:before="480" w:after="0" w:line="240"/>
      </w:pPr>
      <w:r>
        <w:t xml:space="preserve">Chapter </w:t>
      </w:r>
      <w:r>
        <w:rPr/>
        <w:t xml:space="preserve">152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PUBLICLY OWNED INDUSTRIAL WASTEWATER TREATMENT FACILITIES--WATER POLLUTION CONTROL REVOLVING FUND LOANS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12:08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Honeyford, Cleveland, Warnick,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publicly owned industrial wastewater treatment facilities; and amending RCW 90.50A.030.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2016 c 88 s 3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clean water act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the lesser of thirty years or the projected useful life, as determined by the state, of the project to be financed with the proceeds of the loan;</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upon the expiration of the term of the loan;</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the clean water act</w:t>
      </w:r>
      <w:r>
        <w:rPr>
          <w:u w:val="single"/>
        </w:rPr>
        <w:t xml:space="preserve">, including publicly owned industrial wastewater treatment facilities that reduce the burden on a municipal wastewater facility</w:t>
      </w:r>
      <w:r>
        <w:rPr/>
        <w:t xml:space="preserve">;</w:t>
      </w:r>
    </w:p>
    <w:p>
      <w:pPr>
        <w:spacing w:before="0" w:after="0" w:line="408" w:lineRule="exact"/>
        <w:ind w:left="0" w:right="0" w:firstLine="576"/>
        <w:jc w:val="left"/>
      </w:pPr>
      <w:r>
        <w:rPr/>
        <w:t xml:space="preserve">(b) For the implementation of a management program established under the clean water act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the clean water act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c54b36e2605047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55fd9a5424635" /><Relationship Type="http://schemas.openxmlformats.org/officeDocument/2006/relationships/footer" Target="/word/footer.xml" Id="Rc54b36e26050472d" /></Relationships>
</file>