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58665eab145dc"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STOK</w:t>
        </w:r>
      </w:r>
      <w:r>
        <w:rPr>
          <w:b/>
        </w:rPr>
        <w:t xml:space="preserve"> </w:t>
        <w:r>
          <w:rPr/>
          <w:t xml:space="preserve">H2306.1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225</w:t>
      </w:r>
    </w:p>
    <w:p>
      <w:pPr>
        <w:spacing w:before="0" w:after="0" w:line="408" w:lineRule="exact"/>
        <w:ind w:left="0" w:right="0" w:firstLine="576"/>
        <w:jc w:val="left"/>
      </w:pPr>
      <w:r>
        <w:rPr/>
        <w:t xml:space="preserve">By Representative Stokesbary</w:t>
      </w:r>
    </w:p>
    <w:p>
      <w:pPr>
        <w:jc w:val="right"/>
      </w:pPr>
      <w:r>
        <w:rPr>
          <w:b/>
        </w:rPr>
        <w:t xml:space="preserve">NOT ADOPTED 03/12/2019</w:t>
      </w: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"(4) Furthermore, because the legislative fiscal notes prepared in accordance with chapter 43.88 RCW do not, as a matter of practice, dynamically measure economic outcomes that may result from bills, it is the intent of the legislature to require the office of financial management to prepare a biennial estimate of the cost to state agencies and local governments resulting from anticipated fuel price increases from the program created in this chapter, and to forestall the implementation of the program's requirements until the legislature appropriates funds to address these impacts."</w:t>
      </w:r>
    </w:p>
    <w:p>
      <w:pPr>
        <w:spacing w:before="0" w:after="0" w:line="408" w:lineRule="exact"/>
        <w:ind w:left="0" w:right="0" w:firstLine="576"/>
        <w:jc w:val="left"/>
      </w:pPr>
      <w:r>
        <w:rPr/>
        <w:t xml:space="preserve">On page 4, after line 5, insert the following:</w:t>
      </w:r>
    </w:p>
    <w:p>
      <w:pPr>
        <w:spacing w:before="0" w:after="0" w:line="408" w:lineRule="exact"/>
        <w:ind w:left="0" w:right="0" w:firstLine="576"/>
        <w:jc w:val="left"/>
      </w:pPr>
      <w:r>
        <w:rPr/>
        <w:t xml:space="preserve">"(4) Each biennium, the department may only implement the rules adopted under this section to reduce the carbon intensity of transportation fuel after:</w:t>
      </w:r>
    </w:p>
    <w:p>
      <w:pPr>
        <w:spacing w:before="0" w:after="0" w:line="408" w:lineRule="exact"/>
        <w:ind w:left="0" w:right="0" w:firstLine="576"/>
        <w:jc w:val="left"/>
      </w:pPr>
      <w:r>
        <w:rPr/>
        <w:t xml:space="preserve">(a) The office of financial management completes an analysis, based on the rules adopted by the department, regarding the anticipated fiscal impacts of the program on state agencies and local governments as a result of anticipated increases in the cost of transportation fuels; and</w:t>
      </w:r>
    </w:p>
    <w:p>
      <w:pPr>
        <w:spacing w:before="0" w:after="0" w:line="408" w:lineRule="exact"/>
        <w:ind w:left="0" w:right="0" w:firstLine="576"/>
        <w:jc w:val="left"/>
      </w:pPr>
      <w:r>
        <w:rPr/>
        <w:t xml:space="preserve">(b) Specific funding, referencing the analysis required in (a) of this subsection, is provided in the omnibus appropriations act in the regular legislative session immediately following the publication of the analysis, in an amount sufficient to address the fiscal impacts to each state agency and local government for the fiscal biennium. To satisfy the criteria of this subsection, funds to address the costs of the program to counties, cities, towns, and municipal corporations must be appropriated to the department of commerce for distribution to those entities."</w:t>
      </w:r>
    </w:p>
    <w:p>
      <w:pPr>
        <w:spacing w:before="0" w:after="0" w:line="408" w:lineRule="exact"/>
        <w:ind w:left="0" w:right="0" w:firstLine="576"/>
        <w:jc w:val="left"/>
      </w:pPr>
      <w:r>
        <w:rPr>
          <w:u w:val="single"/>
        </w:rPr>
        <w:t xml:space="preserve">EFFECT:</w:t>
      </w:r>
      <w:r>
        <w:rPr/>
        <w:t xml:space="preserve"> Provides that the clean fuels program's transportation fuel carbon intensity reductions may only be implemented each biennium after the office of financial management completes an analysis of the program's impacts on state agencies and local governments from anticipated transportation fuel price increases, and the legislature specifically appropriates funds in the next session's operating budget to address the fiscal impacts to state agencies and local governments. Requires funds to address the costs to counties, cities, towns, and special purpose districts to be appropriated to the department of commerce for distribution.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813f53ed44076" /></Relationships>
</file>