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b4bf837974b7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1110-S2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VICK</w:t>
        </w:r>
      </w:r>
      <w:r>
        <w:rPr>
          <w:b/>
        </w:rPr>
        <w:t xml:space="preserve"> </w:t>
        <w:r>
          <w:rPr/>
          <w:t xml:space="preserve">H2260.1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1110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Vick</w:t>
      </w:r>
    </w:p>
    <w:p>
      <w:pPr>
        <w:jc w:val="right"/>
      </w:pPr>
      <w:r>
        <w:rPr>
          <w:b/>
        </w:rPr>
        <w:t xml:space="preserve">NOT ADOPTED 03/12/2019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12, line 33, strike all of sections 13 through 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consecutively, correct any internal references accordingly, and 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existing provisions that address the allocation of transportation funds to the connecting Washington account from other transportation accounts in the event of the establishment of a low carbon fuel standard or similar programs.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69f51f5ae48b8" /></Relationships>
</file>