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1e981544424aff" /></Relationships>
</file>

<file path=word/document.xml><?xml version="1.0" encoding="utf-8"?>
<w:document xmlns:w="http://schemas.openxmlformats.org/wordprocessingml/2006/main">
  <w:body>
    <w:p>
      <w:r>
        <w:rPr>
          <w:b/>
        </w:rPr>
        <w:r>
          <w:rPr/>
          <w:t xml:space="preserve">1257-S3</w:t>
        </w:r>
      </w:r>
      <w:r>
        <w:rPr>
          <w:b/>
        </w:rPr>
        <w:t xml:space="preserve"> </w:t>
        <w:t xml:space="preserve">AMH</w:t>
      </w:r>
      <w:r>
        <w:rPr>
          <w:b/>
        </w:rPr>
        <w:t xml:space="preserve"> </w:t>
        <w:r>
          <w:rPr/>
          <w:t xml:space="preserve">DYEM</w:t>
        </w:r>
      </w:r>
      <w:r>
        <w:rPr>
          <w:b/>
        </w:rPr>
        <w:t xml:space="preserve"> </w:t>
        <w:r>
          <w:rPr/>
          <w:t xml:space="preserve">H2608.1</w:t>
        </w:r>
      </w:r>
      <w:r>
        <w:rPr>
          <w:b/>
        </w:rPr>
        <w:t xml:space="preserve"> - NOT FOR FLOOR USE</w:t>
      </w:r>
    </w:p>
    <w:p>
      <w:pPr>
        <w:ind w:left="0" w:right="0" w:firstLine="576"/>
      </w:pPr>
    </w:p>
    <w:p>
      <w:pPr>
        <w:spacing w:before="480" w:after="0" w:line="408" w:lineRule="exact"/>
      </w:pPr>
      <w:r>
        <w:rPr>
          <w:b/>
          <w:u w:val="single"/>
        </w:rPr>
        <w:t xml:space="preserve">3SHB 1257</w:t>
      </w:r>
      <w:r>
        <w:t xml:space="preserve"> -</w:t>
      </w:r>
      <w:r>
        <w:t xml:space="preserve"> </w:t>
        <w:t xml:space="preserve">H AMD</w:t>
      </w:r>
      <w:r>
        <w:t xml:space="preserve"> </w:t>
      </w:r>
      <w:r>
        <w:rPr>
          <w:b/>
        </w:rPr>
        <w:t xml:space="preserve">445</w:t>
      </w:r>
    </w:p>
    <w:p>
      <w:pPr>
        <w:spacing w:before="0" w:after="0" w:line="408" w:lineRule="exact"/>
        <w:ind w:left="0" w:right="0" w:firstLine="576"/>
        <w:jc w:val="left"/>
      </w:pPr>
      <w:r>
        <w:rPr/>
        <w:t xml:space="preserve">By Representative Dye</w:t>
      </w:r>
    </w:p>
    <w:p>
      <w:pPr>
        <w:jc w:val="right"/>
      </w:pPr>
      <w:r>
        <w:rPr>
          <w:b/>
        </w:rPr>
        <w:t xml:space="preserve">WITHDRAWN 03/29/2019</w:t>
      </w:r>
    </w:p>
    <w:p>
      <w:pPr>
        <w:spacing w:before="0" w:after="0" w:line="408" w:lineRule="exact"/>
        <w:ind w:left="0" w:right="0" w:firstLine="576"/>
        <w:jc w:val="left"/>
      </w:pPr>
      <w:r>
        <w:rPr/>
        <w:t xml:space="preserve">Beginning on page 7, line 27, strike all of subsections (7) and (8)</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9, beginning on line 7, after "(a)" strike all material through "(b)" on line 9</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the requirement that the building owner of a covered commercial building report the building owner's compliance with the State Energy Performance Standard in accordance with the building owner compliance schedule and every five years thereafter. Removes the provisions establishing the building owner compliance schedule under the State Energy Performance Standard. Removes failure by a building owner to submit a compliance report from the list of reasons for which the Department of Commerce may issue a notice of noncompliance with the State Energy Performance Standard.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522dd609ae46e3" /></Relationships>
</file>