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AC7012">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1C5E57">
            <w:t>1523-S2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1C5E5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1C5E57">
            <w:t>CODY</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1C5E57">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1C5E57">
            <w:t>083</w:t>
          </w:r>
        </w:sdtContent>
      </w:sdt>
    </w:p>
    <w:p w:rsidR="00DF5D0E" w:rsidP="00B73E0A" w:rsidRDefault="00AA1230">
      <w:pPr>
        <w:pStyle w:val="OfferedBy"/>
        <w:spacing w:after="120"/>
      </w:pPr>
      <w:r>
        <w:tab/>
      </w:r>
      <w:r>
        <w:tab/>
      </w:r>
      <w:r>
        <w:tab/>
      </w:r>
    </w:p>
    <w:p w:rsidR="00DF5D0E" w:rsidRDefault="00AC7012">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1C5E57">
            <w:rPr>
              <w:b/>
              <w:u w:val="single"/>
            </w:rPr>
            <w:t>2SHB 1523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1C5E5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272</w:t>
          </w:r>
        </w:sdtContent>
      </w:sdt>
    </w:p>
    <w:p w:rsidR="00DF5D0E" w:rsidP="00605C39" w:rsidRDefault="00AC7012">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1C5E57">
            <w:rPr>
              <w:sz w:val="22"/>
            </w:rPr>
            <w:t>By Representative Cody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1C5E57">
          <w:pPr>
            <w:spacing w:after="400" w:line="408" w:lineRule="exact"/>
            <w:jc w:val="right"/>
            <w:rPr>
              <w:b/>
              <w:bCs/>
            </w:rPr>
          </w:pPr>
          <w:r>
            <w:rPr>
              <w:b/>
              <w:bCs/>
            </w:rPr>
            <w:t xml:space="preserve">ADOPTED 03/08/2019</w:t>
          </w:r>
        </w:p>
      </w:sdtContent>
    </w:sdt>
    <w:p w:rsidR="001C5E57" w:rsidP="00C8108C" w:rsidRDefault="00DE256E">
      <w:pPr>
        <w:pStyle w:val="Page"/>
      </w:pPr>
      <w:bookmarkStart w:name="StartOfAmendmentBody" w:id="1"/>
      <w:bookmarkEnd w:id="1"/>
      <w:permStart w:edGrp="everyone" w:id="1429427624"/>
      <w:r>
        <w:tab/>
      </w:r>
      <w:r w:rsidR="001C5E57">
        <w:t xml:space="preserve">On page </w:t>
      </w:r>
      <w:r w:rsidR="00E73473">
        <w:t>3, line 17</w:t>
      </w:r>
      <w:r w:rsidR="002640B0">
        <w:t>, after "plan" strike "must" and insert "may"</w:t>
      </w:r>
    </w:p>
    <w:p w:rsidR="002640B0" w:rsidP="002640B0" w:rsidRDefault="002640B0">
      <w:pPr>
        <w:pStyle w:val="RCWSLText"/>
      </w:pPr>
    </w:p>
    <w:p w:rsidR="002640B0" w:rsidP="002640B0" w:rsidRDefault="002640B0">
      <w:pPr>
        <w:pStyle w:val="RCWSLText"/>
      </w:pPr>
      <w:r>
        <w:tab/>
        <w:t>On page 3, line 19, after "appropriate;" strike "and"</w:t>
      </w:r>
    </w:p>
    <w:p w:rsidR="002640B0" w:rsidP="002640B0" w:rsidRDefault="002640B0">
      <w:pPr>
        <w:pStyle w:val="RCWSLText"/>
      </w:pPr>
    </w:p>
    <w:p w:rsidR="002640B0" w:rsidP="002640B0" w:rsidRDefault="002640B0">
      <w:pPr>
        <w:pStyle w:val="RCWSLText"/>
      </w:pPr>
      <w:r>
        <w:tab/>
        <w:t>On page 3, line 20, after "(e)" insert "The qualified health plan must meet additional participation requirements to reduce barriers to maintaining and improving health and align to state agency value-based purchasing.  These requirements may include, but are not limited to, standards for population health management; high-value, proven care; health equity; primary care; care coordination and chronic disease management; wellness and prevention; prevention of wasteful and harmf</w:t>
      </w:r>
      <w:r w:rsidR="009364C9">
        <w:t>ul care; and patient engagement;</w:t>
      </w:r>
    </w:p>
    <w:p w:rsidR="00BA65AF" w:rsidP="002640B0" w:rsidRDefault="002640B0">
      <w:pPr>
        <w:pStyle w:val="RCWSLText"/>
      </w:pPr>
      <w:r>
        <w:tab/>
        <w:t>(f)</w:t>
      </w:r>
      <w:r w:rsidR="00BA65AF">
        <w:t xml:space="preserve"> To reduce administrative burden and increase transparency, the qualified health plan's utilization review processes must:</w:t>
      </w:r>
    </w:p>
    <w:p w:rsidR="00501566" w:rsidP="002640B0" w:rsidRDefault="00BA65AF">
      <w:pPr>
        <w:pStyle w:val="RCWSLText"/>
      </w:pPr>
      <w:r>
        <w:tab/>
        <w:t xml:space="preserve">(i) </w:t>
      </w:r>
      <w:r w:rsidR="00501566">
        <w:t>Be focused on care that has high variation, high cost, or low evidence of clinical effectiveness;</w:t>
      </w:r>
    </w:p>
    <w:p w:rsidR="00501566" w:rsidP="002640B0" w:rsidRDefault="00501566">
      <w:pPr>
        <w:pStyle w:val="RCWSLText"/>
      </w:pPr>
      <w:r>
        <w:tab/>
        <w:t>(ii) Meet national accreditation standards; and</w:t>
      </w:r>
    </w:p>
    <w:p w:rsidR="00501566" w:rsidP="002640B0" w:rsidRDefault="00501566">
      <w:pPr>
        <w:pStyle w:val="RCWSLText"/>
      </w:pPr>
      <w:r>
        <w:tab/>
        <w:t>(iii) Align with published crit</w:t>
      </w:r>
      <w:r w:rsidR="009364C9">
        <w:t>eria published by the authority;</w:t>
      </w:r>
    </w:p>
    <w:p w:rsidR="00501566" w:rsidP="002640B0" w:rsidRDefault="00501566">
      <w:pPr>
        <w:pStyle w:val="RCWSLText"/>
      </w:pPr>
      <w:r>
        <w:tab/>
        <w:t>(g) The qualified health plan's medical loss ratio must meet or exceed ninety percent, as determined by the insurance commissione</w:t>
      </w:r>
      <w:r w:rsidR="009364C9">
        <w:t>r in the rate review process; and</w:t>
      </w:r>
    </w:p>
    <w:p w:rsidR="002640B0" w:rsidP="002640B0" w:rsidRDefault="00501566">
      <w:pPr>
        <w:pStyle w:val="RCWSLText"/>
      </w:pPr>
      <w:r>
        <w:tab/>
        <w:t>(h)</w:t>
      </w:r>
      <w:r w:rsidR="002640B0">
        <w:t>"</w:t>
      </w:r>
    </w:p>
    <w:p w:rsidR="00501566" w:rsidP="002640B0" w:rsidRDefault="00501566">
      <w:pPr>
        <w:pStyle w:val="RCWSLText"/>
      </w:pPr>
    </w:p>
    <w:p w:rsidRPr="002640B0" w:rsidR="002640B0" w:rsidP="002640B0" w:rsidRDefault="00501566">
      <w:pPr>
        <w:pStyle w:val="RCWSLText"/>
      </w:pPr>
      <w:r>
        <w:tab/>
        <w:t xml:space="preserve">On page </w:t>
      </w:r>
      <w:r w:rsidR="00C5458B">
        <w:t xml:space="preserve">3, beginning on line 28, after "(2)" strike all material through "qualifications" on line 34 and insert "The director, after consultation with the exchange, shall conduct procurement negotiations with health carriers and selectively contract with </w:t>
      </w:r>
      <w:r w:rsidR="00D24961">
        <w:t xml:space="preserve">a health carrier or </w:t>
      </w:r>
      <w:r w:rsidR="00D24961">
        <w:lastRenderedPageBreak/>
        <w:t xml:space="preserve">carriers to offer a qualified health plan or plans that offer the optimal combination of choice, affordability, quality, and service.  </w:t>
      </w:r>
      <w:r w:rsidR="00033119">
        <w:t xml:space="preserve">A health carrier contracting with the authority under this section may offer </w:t>
      </w:r>
      <w:r w:rsidR="00960C70">
        <w:t xml:space="preserve">a </w:t>
      </w:r>
      <w:r w:rsidR="00033119">
        <w:t>q</w:t>
      </w:r>
      <w:r w:rsidR="00960C70">
        <w:t>ualified health plan or plans</w:t>
      </w:r>
      <w:r w:rsidR="00033119">
        <w:t xml:space="preserve"> in a single county or multiple counties.  The goal of the procurement conducted under this section is to have </w:t>
      </w:r>
      <w:r w:rsidR="00A67583">
        <w:t>health carriers cont</w:t>
      </w:r>
      <w:r w:rsidR="00DD1118">
        <w:t>r</w:t>
      </w:r>
      <w:r w:rsidR="00A67583">
        <w:t xml:space="preserve">acting with the authority under this section offering </w:t>
      </w:r>
      <w:r w:rsidR="00033119">
        <w:t>at least one qualified health</w:t>
      </w:r>
      <w:r w:rsidR="00F40CD2">
        <w:t xml:space="preserve"> plan</w:t>
      </w:r>
      <w:r w:rsidR="00033119">
        <w:t xml:space="preserve"> in every county</w:t>
      </w:r>
      <w:r w:rsidR="00A67583">
        <w:t xml:space="preserve"> in the state</w:t>
      </w:r>
      <w:r w:rsidR="00C82A5E">
        <w:t>"</w:t>
      </w:r>
      <w:r w:rsidR="002640B0">
        <w:tab/>
      </w:r>
    </w:p>
    <w:p w:rsidRPr="001C5E57" w:rsidR="00DF5D0E" w:rsidP="001C5E57" w:rsidRDefault="00DF5D0E">
      <w:pPr>
        <w:suppressLineNumbers/>
        <w:rPr>
          <w:spacing w:val="-3"/>
        </w:rPr>
      </w:pPr>
    </w:p>
    <w:permEnd w:id="1429427624"/>
    <w:p w:rsidR="00ED2EEB" w:rsidP="001C5E5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5663323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1C5E5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1C5E57" w:rsidRDefault="0096303F">
                <w:pPr>
                  <w:pStyle w:val="Effect"/>
                  <w:suppressLineNumbers/>
                  <w:shd w:val="clear" w:color="auto" w:fill="auto"/>
                  <w:ind w:left="0" w:firstLine="0"/>
                </w:pPr>
                <w:r w:rsidRPr="0096303F">
                  <w:tab/>
                </w:r>
                <w:r w:rsidRPr="0096303F" w:rsidR="001C1B27">
                  <w:rPr>
                    <w:u w:val="single"/>
                  </w:rPr>
                  <w:t>EFFECT:</w:t>
                </w:r>
                <w:r w:rsidR="00601702">
                  <w:t xml:space="preserve">  Allows, instead of requires, a qualified health plan offered pursuant to a Health Care Authority (HCA) contract to use a managed care model.  Requires</w:t>
                </w:r>
                <w:r w:rsidR="001F14BB">
                  <w:t xml:space="preserve"> a qualified health plan offered pursuant to a HCA contract to: (a) meet additional participation requirements to reduce barriers to maintaining and improving health and align to state agency value-based purchasing; (b) employ utilization review processes that meet national accreditation standards, align with HCA-published criteria, and are focused on care that has high variation, high cost, or low evidence of clinical effectiveness; and (c) have a medical loss ratio of at least 90%.  Removes </w:t>
                </w:r>
                <w:r w:rsidR="00F40CD2">
                  <w:t xml:space="preserve">the request for qualifications process in which the HCA must contract with all health carriers that meet the minimum qualifications.  Instead, requires the HCA, after consulting with the Health Benefit Exchange, to selectively contract with a health carrier or carriers to offer a qualified health plan or plans that offer the optimal combination of choice, affordability, quality, and service.  Allows a health carrier contracting with the HCA to offer qualified health plans in single or multiple counties.  States that the goal of the procurement is to have health carriers contracting with the HCA to offer at least one qualified health plan in </w:t>
                </w:r>
                <w:r w:rsidR="00C03E8F">
                  <w:t>e</w:t>
                </w:r>
                <w:r w:rsidR="00F40CD2">
                  <w:t>very county of the state.</w:t>
                </w:r>
                <w:r w:rsidR="001F14BB">
                  <w:t xml:space="preserve">  </w:t>
                </w:r>
              </w:p>
              <w:p w:rsidRPr="007D1589" w:rsidR="001B4E53" w:rsidP="001C5E57" w:rsidRDefault="001B4E53">
                <w:pPr>
                  <w:pStyle w:val="ListBullet"/>
                  <w:numPr>
                    <w:ilvl w:val="0"/>
                    <w:numId w:val="0"/>
                  </w:numPr>
                  <w:suppressLineNumbers/>
                </w:pPr>
              </w:p>
            </w:tc>
          </w:tr>
        </w:sdtContent>
      </w:sdt>
      <w:permEnd w:id="1566332345"/>
    </w:tbl>
    <w:p w:rsidR="00DF5D0E" w:rsidP="001C5E57" w:rsidRDefault="00DF5D0E">
      <w:pPr>
        <w:pStyle w:val="BillEnd"/>
        <w:suppressLineNumbers/>
      </w:pPr>
    </w:p>
    <w:p w:rsidR="00DF5D0E" w:rsidP="001C5E57" w:rsidRDefault="00DE256E">
      <w:pPr>
        <w:pStyle w:val="BillEnd"/>
        <w:suppressLineNumbers/>
      </w:pPr>
      <w:r>
        <w:rPr>
          <w:b/>
        </w:rPr>
        <w:t>--- END ---</w:t>
      </w:r>
    </w:p>
    <w:p w:rsidR="00DF5D0E" w:rsidP="001C5E5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E57" w:rsidRDefault="001C5E57" w:rsidP="00DF5D0E">
      <w:r>
        <w:separator/>
      </w:r>
    </w:p>
  </w:endnote>
  <w:endnote w:type="continuationSeparator" w:id="0">
    <w:p w:rsidR="001C5E57" w:rsidRDefault="001C5E5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36" w:rsidRDefault="00FD3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5812">
    <w:pPr>
      <w:pStyle w:val="AmendDraftFooter"/>
    </w:pPr>
    <w:fldSimple w:instr=" TITLE   \* MERGEFORMAT ">
      <w:r>
        <w:t>1523-S2 AMH CODY MORI 083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75812">
    <w:pPr>
      <w:pStyle w:val="AmendDraftFooter"/>
    </w:pPr>
    <w:fldSimple w:instr=" TITLE   \* MERGEFORMAT ">
      <w:r>
        <w:t>1523-S2 AMH CODY MORI 083</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E57" w:rsidRDefault="001C5E57" w:rsidP="00DF5D0E">
      <w:r>
        <w:separator/>
      </w:r>
    </w:p>
  </w:footnote>
  <w:footnote w:type="continuationSeparator" w:id="0">
    <w:p w:rsidR="001C5E57" w:rsidRDefault="001C5E5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736" w:rsidRDefault="00FD37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savePreviewPicture/>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33119"/>
    <w:rsid w:val="00050639"/>
    <w:rsid w:val="00060D21"/>
    <w:rsid w:val="00096165"/>
    <w:rsid w:val="000C6C82"/>
    <w:rsid w:val="000E603A"/>
    <w:rsid w:val="00102468"/>
    <w:rsid w:val="00106544"/>
    <w:rsid w:val="00146AAF"/>
    <w:rsid w:val="001A775A"/>
    <w:rsid w:val="001B4E53"/>
    <w:rsid w:val="001C1B27"/>
    <w:rsid w:val="001C5E57"/>
    <w:rsid w:val="001C7F91"/>
    <w:rsid w:val="001D1CB6"/>
    <w:rsid w:val="001E6675"/>
    <w:rsid w:val="001F14BB"/>
    <w:rsid w:val="00217E8A"/>
    <w:rsid w:val="002640B0"/>
    <w:rsid w:val="00265296"/>
    <w:rsid w:val="00281CBD"/>
    <w:rsid w:val="00284315"/>
    <w:rsid w:val="00316CD9"/>
    <w:rsid w:val="003367BC"/>
    <w:rsid w:val="003E2FC6"/>
    <w:rsid w:val="00492DDC"/>
    <w:rsid w:val="004B3003"/>
    <w:rsid w:val="004C6615"/>
    <w:rsid w:val="00501566"/>
    <w:rsid w:val="00523C5A"/>
    <w:rsid w:val="00562200"/>
    <w:rsid w:val="005E47F5"/>
    <w:rsid w:val="005E69C3"/>
    <w:rsid w:val="00601702"/>
    <w:rsid w:val="00605C39"/>
    <w:rsid w:val="00675812"/>
    <w:rsid w:val="006841E6"/>
    <w:rsid w:val="006F7027"/>
    <w:rsid w:val="007049E4"/>
    <w:rsid w:val="0072335D"/>
    <w:rsid w:val="0072541D"/>
    <w:rsid w:val="00757317"/>
    <w:rsid w:val="007769AF"/>
    <w:rsid w:val="007D1589"/>
    <w:rsid w:val="007D35D4"/>
    <w:rsid w:val="007E7846"/>
    <w:rsid w:val="0083749C"/>
    <w:rsid w:val="008443FE"/>
    <w:rsid w:val="00846034"/>
    <w:rsid w:val="008C7E6E"/>
    <w:rsid w:val="00931B84"/>
    <w:rsid w:val="009364C9"/>
    <w:rsid w:val="00960C70"/>
    <w:rsid w:val="0096303F"/>
    <w:rsid w:val="00972869"/>
    <w:rsid w:val="00984CD1"/>
    <w:rsid w:val="009F23A9"/>
    <w:rsid w:val="00A01F29"/>
    <w:rsid w:val="00A17B5B"/>
    <w:rsid w:val="00A4729B"/>
    <w:rsid w:val="00A67583"/>
    <w:rsid w:val="00A93D4A"/>
    <w:rsid w:val="00AA1230"/>
    <w:rsid w:val="00AB682C"/>
    <w:rsid w:val="00AC7012"/>
    <w:rsid w:val="00AD2D0A"/>
    <w:rsid w:val="00B31D1C"/>
    <w:rsid w:val="00B41494"/>
    <w:rsid w:val="00B518D0"/>
    <w:rsid w:val="00B56650"/>
    <w:rsid w:val="00B73E0A"/>
    <w:rsid w:val="00B93675"/>
    <w:rsid w:val="00B95FA4"/>
    <w:rsid w:val="00B961E0"/>
    <w:rsid w:val="00BA65AF"/>
    <w:rsid w:val="00BF44DF"/>
    <w:rsid w:val="00C03E8F"/>
    <w:rsid w:val="00C5458B"/>
    <w:rsid w:val="00C61A83"/>
    <w:rsid w:val="00C8108C"/>
    <w:rsid w:val="00C82A5E"/>
    <w:rsid w:val="00D24961"/>
    <w:rsid w:val="00D40447"/>
    <w:rsid w:val="00D659AC"/>
    <w:rsid w:val="00DA47F3"/>
    <w:rsid w:val="00DC2C13"/>
    <w:rsid w:val="00DD1118"/>
    <w:rsid w:val="00DE256E"/>
    <w:rsid w:val="00DF5D0E"/>
    <w:rsid w:val="00E1471A"/>
    <w:rsid w:val="00E267B1"/>
    <w:rsid w:val="00E41CC6"/>
    <w:rsid w:val="00E66F5D"/>
    <w:rsid w:val="00E73473"/>
    <w:rsid w:val="00E831A5"/>
    <w:rsid w:val="00E850E7"/>
    <w:rsid w:val="00EB4FF7"/>
    <w:rsid w:val="00EC4C96"/>
    <w:rsid w:val="00ED2EEB"/>
    <w:rsid w:val="00F15292"/>
    <w:rsid w:val="00F229DE"/>
    <w:rsid w:val="00F304D3"/>
    <w:rsid w:val="00F40CD2"/>
    <w:rsid w:val="00F4663F"/>
    <w:rsid w:val="00FD3736"/>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F3AB2"/>
    <w:rsid w:val="00D8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mendment>
  <BillDocName>1523-S2</BillDocName>
  <AmendType>AMH</AmendType>
  <SponsorAcronym>CODY</SponsorAcronym>
  <DrafterAcronym>MORI</DrafterAcronym>
  <DraftNumber>083</DraftNumber>
  <ReferenceNumber>2SHB 1523</ReferenceNumber>
  <Floor>H AMD</Floor>
  <AmendmentNumber> 272</AmendmentNumber>
  <Sponsors>By Representative Cody</Sponsors>
  <FloorAction>ADOPTED 03/08/2019</FloorAction>
</Amend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9304C-FCEE-4ACD-9B3F-481A4DFF630A}">
  <ds:schemaRefs/>
</ds:datastoreItem>
</file>

<file path=customXml/itemProps2.xml><?xml version="1.0" encoding="utf-8"?>
<ds:datastoreItem xmlns:ds="http://schemas.openxmlformats.org/officeDocument/2006/customXml" ds:itemID="{7A820C86-4281-4B46-A262-985A3F06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99</TotalTime>
  <Pages>2</Pages>
  <Words>522</Words>
  <Characters>2873</Characters>
  <Application>Microsoft Office Word</Application>
  <DocSecurity>8</DocSecurity>
  <Lines>70</Lines>
  <Paragraphs>18</Paragraphs>
  <ScaleCrop>false</ScaleCrop>
  <HeadingPairs>
    <vt:vector size="2" baseType="variant">
      <vt:variant>
        <vt:lpstr>Title</vt:lpstr>
      </vt:variant>
      <vt:variant>
        <vt:i4>1</vt:i4>
      </vt:variant>
    </vt:vector>
  </HeadingPairs>
  <TitlesOfParts>
    <vt:vector size="1" baseType="lpstr">
      <vt:lpstr>1523-S2 AMH CODY MORI 083</vt:lpstr>
    </vt:vector>
  </TitlesOfParts>
  <Company>Washington State Legislature</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1523-S2 AMH CODY MORI 083</dc:title>
  <dc:creator>Jim Morishima</dc:creator>
  <cp:lastModifiedBy>Morishima, Jim</cp:lastModifiedBy>
  <cp:revision>28</cp:revision>
  <cp:lastPrinted>2019-03-06T21:00:00Z</cp:lastPrinted>
  <dcterms:created xsi:type="dcterms:W3CDTF">2019-03-06T19:34:00Z</dcterms:created>
  <dcterms:modified xsi:type="dcterms:W3CDTF">2019-03-06T21:58:00Z</dcterms:modified>
</cp:coreProperties>
</file>