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871B6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34FB0">
            <w:t>1598-S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34FB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34FB0">
            <w:t>GRIF</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34FB0">
            <w:t>WAYV</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34FB0">
            <w:t>225</w:t>
          </w:r>
        </w:sdtContent>
      </w:sdt>
    </w:p>
    <w:p w:rsidR="00DF5D0E" w:rsidP="00B73E0A" w:rsidRDefault="00AA1230">
      <w:pPr>
        <w:pStyle w:val="OfferedBy"/>
        <w:spacing w:after="120"/>
      </w:pPr>
      <w:r>
        <w:tab/>
      </w:r>
      <w:r>
        <w:tab/>
      </w:r>
      <w:r>
        <w:tab/>
      </w:r>
    </w:p>
    <w:p w:rsidR="00DF5D0E" w:rsidRDefault="00871B6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34FB0">
            <w:rPr>
              <w:b/>
              <w:u w:val="single"/>
            </w:rPr>
            <w:t>SHB 1598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34FB0">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268</w:t>
          </w:r>
        </w:sdtContent>
      </w:sdt>
    </w:p>
    <w:p w:rsidR="00DF5D0E" w:rsidP="00605C39" w:rsidRDefault="00871B6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34FB0">
            <w:rPr>
              <w:sz w:val="22"/>
            </w:rPr>
            <w:t>By Representative Griffey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34FB0">
          <w:pPr>
            <w:spacing w:after="400" w:line="408" w:lineRule="exact"/>
            <w:jc w:val="right"/>
            <w:rPr>
              <w:b/>
              <w:bCs/>
            </w:rPr>
          </w:pPr>
          <w:r>
            <w:rPr>
              <w:b/>
              <w:bCs/>
            </w:rPr>
            <w:t xml:space="preserve">NOT CONSIDERED 12/23/2019</w:t>
          </w:r>
        </w:p>
      </w:sdtContent>
    </w:sdt>
    <w:p w:rsidR="000240C2" w:rsidP="000240C2" w:rsidRDefault="00DE256E">
      <w:pPr>
        <w:pStyle w:val="Page"/>
        <w:rPr>
          <w:rFonts w:eastAsia="Times New Roman"/>
        </w:rPr>
      </w:pPr>
      <w:bookmarkStart w:name="StartOfAmendmentBody" w:id="1"/>
      <w:bookmarkEnd w:id="1"/>
      <w:permStart w:edGrp="everyone" w:id="875255894"/>
      <w:r>
        <w:tab/>
      </w:r>
      <w:r w:rsidR="00434FB0">
        <w:t xml:space="preserve">On page </w:t>
      </w:r>
      <w:r w:rsidR="004502E7">
        <w:t>2</w:t>
      </w:r>
      <w:r w:rsidR="006F4438">
        <w:t xml:space="preserve">, </w:t>
      </w:r>
      <w:r w:rsidR="004502E7">
        <w:t>line 2</w:t>
      </w:r>
      <w:r w:rsidR="006F4438">
        <w:t>, after "</w:t>
      </w:r>
      <w:r w:rsidR="004502E7">
        <w:t>county.</w:t>
      </w:r>
      <w:r w:rsidR="006F4438">
        <w:t xml:space="preserve">" </w:t>
      </w:r>
      <w:r w:rsidR="000240C2">
        <w:t xml:space="preserve">insert </w:t>
      </w:r>
      <w:r w:rsidR="006F4438">
        <w:t>"</w:t>
      </w:r>
      <w:r w:rsidRPr="000240C2" w:rsidR="000240C2">
        <w:rPr>
          <w:rFonts w:eastAsia="Times New Roman"/>
        </w:rPr>
        <w:t>If a code city is proposing to annex territory that will include areas in a special purpose district, the code city must notify the authority of the special purpose district and include the special purpose district as a party to the interlocal agreement. If the special purpose district does not approve the interlocal agreement, the annexation may not proceed under this section. The interlocal agreement must ensure that for a period of five years after the annexation for any parcel zoned for residential development within the annexed area:</w:t>
      </w:r>
    </w:p>
    <w:p w:rsidR="000240C2" w:rsidP="000240C2" w:rsidRDefault="000240C2">
      <w:pPr>
        <w:pStyle w:val="Page"/>
        <w:rPr>
          <w:rFonts w:eastAsia="Times New Roman"/>
        </w:rPr>
      </w:pPr>
      <w:r>
        <w:rPr>
          <w:rFonts w:eastAsia="Times New Roman"/>
        </w:rPr>
        <w:tab/>
      </w:r>
      <w:r w:rsidRPr="000240C2">
        <w:rPr>
          <w:rFonts w:eastAsia="Times New Roman"/>
        </w:rPr>
        <w:t>(a) The parcel remains zoned for residential development; and</w:t>
      </w:r>
    </w:p>
    <w:p w:rsidR="000240C2" w:rsidP="000240C2" w:rsidRDefault="000240C2">
      <w:pPr>
        <w:pStyle w:val="Page"/>
        <w:rPr>
          <w:rFonts w:eastAsia="Times New Roman"/>
        </w:rPr>
      </w:pPr>
      <w:r>
        <w:rPr>
          <w:rFonts w:eastAsia="Times New Roman"/>
        </w:rPr>
        <w:tab/>
      </w:r>
      <w:r w:rsidRPr="000240C2">
        <w:rPr>
          <w:rFonts w:eastAsia="Times New Roman"/>
        </w:rPr>
        <w:t>(b) The residential density of any parcel is not reduced below the density allowed for that parcel prior to annexation</w:t>
      </w:r>
      <w:r w:rsidR="00D80F05">
        <w:rPr>
          <w:rFonts w:eastAsia="Times New Roman"/>
        </w:rPr>
        <w:t>.</w:t>
      </w:r>
      <w:r>
        <w:rPr>
          <w:rFonts w:eastAsia="Times New Roman"/>
        </w:rPr>
        <w:t>"</w:t>
      </w:r>
    </w:p>
    <w:p w:rsidR="000240C2" w:rsidP="000240C2" w:rsidRDefault="000240C2">
      <w:pPr>
        <w:pStyle w:val="RCWSLText"/>
      </w:pPr>
    </w:p>
    <w:p w:rsidR="000240C2" w:rsidP="000240C2" w:rsidRDefault="000240C2">
      <w:pPr>
        <w:pStyle w:val="RCWSLText"/>
      </w:pPr>
      <w:r>
        <w:tab/>
      </w:r>
      <w:r w:rsidR="00D60693">
        <w:t>On page 2, beginning on line 12</w:t>
      </w:r>
      <w:r>
        <w:t xml:space="preserve">, after </w:t>
      </w:r>
      <w:r w:rsidR="00D60693">
        <w:t>"shall" strike all material through "annexation" on line 16 and insert ":</w:t>
      </w:r>
    </w:p>
    <w:p w:rsidR="006D5320" w:rsidP="000240C2" w:rsidRDefault="00D60693">
      <w:pPr>
        <w:pStyle w:val="RCWSLText"/>
      </w:pPr>
      <w:r>
        <w:tab/>
        <w:t>(a) Separately</w:t>
      </w:r>
      <w:r w:rsidR="006D5320">
        <w:t xml:space="preserve"> or jointly, publish the agreement at least once a week for four weeks before the date of the hearing in one or more newspapers of general circulation within the code city and one or more newspapers of general circulation within the territory proposed for annexation; and</w:t>
      </w:r>
    </w:p>
    <w:p w:rsidR="00DF5D0E" w:rsidP="003D3854" w:rsidRDefault="006D5320">
      <w:pPr>
        <w:pStyle w:val="RCWSLText"/>
      </w:pPr>
      <w:r>
        <w:tab/>
        <w:t xml:space="preserve">(b) </w:t>
      </w:r>
      <w:r w:rsidR="003D3854">
        <w:t>I</w:t>
      </w:r>
      <w:r>
        <w:t>f the legislative body has the ability to do so, post notification of the agreement on its website for the same four weeks that the</w:t>
      </w:r>
      <w:r w:rsidR="003D3854">
        <w:t xml:space="preserve"> agreement is</w:t>
      </w:r>
      <w:r>
        <w:t xml:space="preserve"> p</w:t>
      </w:r>
      <w:r w:rsidR="003D3854">
        <w:t>ublished</w:t>
      </w:r>
      <w:r>
        <w:t xml:space="preserve"> in the newspapers under (2)(a) of this section"</w:t>
      </w:r>
    </w:p>
    <w:p w:rsidR="00C76443" w:rsidP="003D3854" w:rsidRDefault="00C76443">
      <w:pPr>
        <w:pStyle w:val="RCWSLText"/>
      </w:pPr>
    </w:p>
    <w:p w:rsidRPr="00434FB0" w:rsidR="00C76443" w:rsidP="003D3854" w:rsidRDefault="00C76443">
      <w:pPr>
        <w:pStyle w:val="RCWSLText"/>
      </w:pPr>
      <w:r>
        <w:tab/>
        <w:t>On page 2, beginning on line 17, after "hearing," strike all material through "annexation</w:t>
      </w:r>
      <w:r w:rsidR="00B35D8D">
        <w:t>"</w:t>
      </w:r>
      <w:r>
        <w:t xml:space="preserve"> on line 18 and insert "the public"</w:t>
      </w:r>
    </w:p>
    <w:permEnd w:id="875255894"/>
    <w:p w:rsidR="00ED2EEB" w:rsidP="00434FB0"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56773496"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434FB0" w:rsidRDefault="00D659AC">
                <w:pPr>
                  <w:pStyle w:val="Effect"/>
                  <w:suppressLineNumbers/>
                  <w:shd w:val="clear" w:color="auto" w:fill="auto"/>
                  <w:ind w:left="0" w:firstLine="0"/>
                </w:pPr>
              </w:p>
            </w:tc>
            <w:tc>
              <w:tcPr>
                <w:tcW w:w="9874" w:type="dxa"/>
                <w:shd w:val="clear" w:color="auto" w:fill="FFFFFF" w:themeFill="background1"/>
              </w:tcPr>
              <w:p w:rsidR="004F2EA8" w:rsidP="004F2EA8"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6468B">
                  <w:t>Requires (if an annexation includes areas in a special district) the special purpose district to be notified and included as part of the interlocal agreement.</w:t>
                </w:r>
              </w:p>
              <w:p w:rsidR="004F2EA8" w:rsidP="004F2EA8" w:rsidRDefault="004F2EA8">
                <w:pPr>
                  <w:pStyle w:val="Effect"/>
                  <w:suppressLineNumbers/>
                  <w:shd w:val="clear" w:color="auto" w:fill="auto"/>
                  <w:ind w:left="0" w:firstLine="0"/>
                </w:pPr>
              </w:p>
              <w:p w:rsidR="00353191" w:rsidP="00353191" w:rsidRDefault="004F2EA8">
                <w:pPr>
                  <w:pStyle w:val="Effect"/>
                  <w:suppressLineNumbers/>
                  <w:shd w:val="clear" w:color="auto" w:fill="auto"/>
                  <w:ind w:left="0" w:firstLine="0"/>
                  <w:rPr>
                    <w:rFonts w:eastAsia="Times New Roman"/>
                  </w:rPr>
                </w:pPr>
                <w:r>
                  <w:t xml:space="preserve">Requires that </w:t>
                </w:r>
                <w:r>
                  <w:rPr>
                    <w:rFonts w:eastAsia="Times New Roman"/>
                  </w:rPr>
                  <w:t>the annexed</w:t>
                </w:r>
                <w:r w:rsidRPr="000240C2">
                  <w:rPr>
                    <w:rFonts w:eastAsia="Times New Roman"/>
                  </w:rPr>
                  <w:t xml:space="preserve"> </w:t>
                </w:r>
                <w:r>
                  <w:rPr>
                    <w:rFonts w:eastAsia="Times New Roman"/>
                  </w:rPr>
                  <w:t xml:space="preserve">residential </w:t>
                </w:r>
                <w:r w:rsidRPr="000240C2">
                  <w:rPr>
                    <w:rFonts w:eastAsia="Times New Roman"/>
                  </w:rPr>
                  <w:t>parcel</w:t>
                </w:r>
                <w:r>
                  <w:rPr>
                    <w:rFonts w:eastAsia="Times New Roman"/>
                  </w:rPr>
                  <w:t>,</w:t>
                </w:r>
                <w:r w:rsidRPr="000240C2">
                  <w:rPr>
                    <w:rFonts w:eastAsia="Times New Roman"/>
                  </w:rPr>
                  <w:t xml:space="preserve"> remains zoned for residential development and not reduced below the density allowed for that parcel prior to annexation</w:t>
                </w:r>
                <w:r>
                  <w:rPr>
                    <w:rFonts w:eastAsia="Times New Roman"/>
                  </w:rPr>
                  <w:t>, for a period of five years after the land is annexed.</w:t>
                </w:r>
              </w:p>
              <w:p w:rsidR="00353191" w:rsidP="00353191" w:rsidRDefault="00353191">
                <w:pPr>
                  <w:pStyle w:val="Effect"/>
                  <w:suppressLineNumbers/>
                  <w:shd w:val="clear" w:color="auto" w:fill="auto"/>
                  <w:ind w:left="0" w:firstLine="0"/>
                  <w:rPr>
                    <w:rFonts w:eastAsia="Times New Roman"/>
                  </w:rPr>
                </w:pPr>
              </w:p>
              <w:p w:rsidR="00353191" w:rsidP="00353191" w:rsidRDefault="00C76443">
                <w:pPr>
                  <w:pStyle w:val="Effect"/>
                  <w:suppressLineNumbers/>
                  <w:shd w:val="clear" w:color="auto" w:fill="auto"/>
                  <w:ind w:left="0" w:firstLine="0"/>
                </w:pPr>
                <w:r>
                  <w:t>Expands the public notification requirements and r</w:t>
                </w:r>
                <w:r w:rsidR="0083280A">
                  <w:t xml:space="preserve">equires, before </w:t>
                </w:r>
                <w:r>
                  <w:t>a</w:t>
                </w:r>
                <w:r w:rsidR="0083280A">
                  <w:t xml:space="preserve"> public hearing</w:t>
                </w:r>
                <w:r>
                  <w:t xml:space="preserve"> takes place</w:t>
                </w:r>
                <w:r w:rsidR="0083280A">
                  <w:t xml:space="preserve">, that notice of the agreement must be: (1) published for </w:t>
                </w:r>
                <w:r w:rsidR="00D80F05">
                  <w:t>4</w:t>
                </w:r>
                <w:r w:rsidR="0083280A">
                  <w:t xml:space="preserve"> weeks (instead of </w:t>
                </w:r>
                <w:r w:rsidR="00D80F05">
                  <w:t>2</w:t>
                </w:r>
                <w:r w:rsidR="0083280A">
                  <w:t xml:space="preserve"> weeks) in the local newspapers within the code city and within the area to be annexed; and (2) posted on the county's and city's website if they have ability to do so.</w:t>
                </w:r>
              </w:p>
              <w:p w:rsidR="00353191" w:rsidP="00353191" w:rsidRDefault="00353191">
                <w:pPr>
                  <w:pStyle w:val="Effect"/>
                  <w:suppressLineNumbers/>
                  <w:shd w:val="clear" w:color="auto" w:fill="auto"/>
                  <w:ind w:left="0" w:firstLine="0"/>
                </w:pPr>
              </w:p>
              <w:p w:rsidRPr="007D1589" w:rsidR="001B4E53" w:rsidP="00353191" w:rsidRDefault="00C76443">
                <w:pPr>
                  <w:pStyle w:val="Effect"/>
                  <w:suppressLineNumbers/>
                  <w:shd w:val="clear" w:color="auto" w:fill="auto"/>
                  <w:ind w:left="0" w:firstLine="0"/>
                </w:pPr>
                <w:r>
                  <w:t>Requires that all members of the public must be given the opportunity to be heard at the hearing regarding the proposed annexation issue.</w:t>
                </w:r>
              </w:p>
            </w:tc>
          </w:tr>
        </w:sdtContent>
      </w:sdt>
      <w:permEnd w:id="1056773496"/>
    </w:tbl>
    <w:p w:rsidR="00DF5D0E" w:rsidP="00434FB0" w:rsidRDefault="00DF5D0E">
      <w:pPr>
        <w:pStyle w:val="BillEnd"/>
        <w:suppressLineNumbers/>
      </w:pPr>
    </w:p>
    <w:p w:rsidR="00DF5D0E" w:rsidP="00434FB0" w:rsidRDefault="00DE256E">
      <w:pPr>
        <w:pStyle w:val="BillEnd"/>
        <w:suppressLineNumbers/>
      </w:pPr>
      <w:r>
        <w:rPr>
          <w:b/>
        </w:rPr>
        <w:t>--- END ---</w:t>
      </w:r>
    </w:p>
    <w:p w:rsidR="00DF5D0E" w:rsidP="00434FB0"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FB0" w:rsidRDefault="00434FB0" w:rsidP="00DF5D0E">
      <w:r>
        <w:separator/>
      </w:r>
    </w:p>
  </w:endnote>
  <w:endnote w:type="continuationSeparator" w:id="0">
    <w:p w:rsidR="00434FB0" w:rsidRDefault="00434FB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43" w:rsidRDefault="00C764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353191">
    <w:pPr>
      <w:pStyle w:val="AmendDraftFooter"/>
    </w:pPr>
    <w:fldSimple w:instr=" TITLE   \* MERGEFORMAT ">
      <w:r>
        <w:t>1598-S AMH GRIF WAYV 225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353191">
    <w:pPr>
      <w:pStyle w:val="AmendDraftFooter"/>
    </w:pPr>
    <w:fldSimple w:instr=" TITLE   \* MERGEFORMAT ">
      <w:r>
        <w:t>1598-S AMH GRIF WAYV 225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FB0" w:rsidRDefault="00434FB0" w:rsidP="00DF5D0E">
      <w:r>
        <w:separator/>
      </w:r>
    </w:p>
  </w:footnote>
  <w:footnote w:type="continuationSeparator" w:id="0">
    <w:p w:rsidR="00434FB0" w:rsidRDefault="00434FB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43" w:rsidRDefault="00C764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65F27E20"/>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attachedTemplate r:id="rId1"/>
  <w:documentProtection w:edit="readOnly" w:enforcement="1"/>
  <w:defaultTabStop w:val="720"/>
  <w:noPunctuationKerning/>
  <w:characterSpacingControl w:val="doNotCompress"/>
  <w:savePreviewPicture/>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240C2"/>
    <w:rsid w:val="00050639"/>
    <w:rsid w:val="00060D21"/>
    <w:rsid w:val="00096165"/>
    <w:rsid w:val="000C6C82"/>
    <w:rsid w:val="000E603A"/>
    <w:rsid w:val="00102468"/>
    <w:rsid w:val="00106544"/>
    <w:rsid w:val="00140BDE"/>
    <w:rsid w:val="00146AAF"/>
    <w:rsid w:val="001A775A"/>
    <w:rsid w:val="001B4E53"/>
    <w:rsid w:val="001C1B27"/>
    <w:rsid w:val="001C7F91"/>
    <w:rsid w:val="001E6675"/>
    <w:rsid w:val="00217E8A"/>
    <w:rsid w:val="00265296"/>
    <w:rsid w:val="00281CBD"/>
    <w:rsid w:val="002B0798"/>
    <w:rsid w:val="00316CD9"/>
    <w:rsid w:val="00353191"/>
    <w:rsid w:val="003D3854"/>
    <w:rsid w:val="003E2FC6"/>
    <w:rsid w:val="00434FB0"/>
    <w:rsid w:val="004502E7"/>
    <w:rsid w:val="00492DDC"/>
    <w:rsid w:val="004C6615"/>
    <w:rsid w:val="004F2EA8"/>
    <w:rsid w:val="00523C5A"/>
    <w:rsid w:val="005E69C3"/>
    <w:rsid w:val="00605C39"/>
    <w:rsid w:val="006841E6"/>
    <w:rsid w:val="006D1A6C"/>
    <w:rsid w:val="006D5320"/>
    <w:rsid w:val="006F4438"/>
    <w:rsid w:val="006F7027"/>
    <w:rsid w:val="007049E4"/>
    <w:rsid w:val="0072335D"/>
    <w:rsid w:val="0072541D"/>
    <w:rsid w:val="00757317"/>
    <w:rsid w:val="007769AF"/>
    <w:rsid w:val="007D1589"/>
    <w:rsid w:val="007D2039"/>
    <w:rsid w:val="007D35D4"/>
    <w:rsid w:val="0083280A"/>
    <w:rsid w:val="0083749C"/>
    <w:rsid w:val="008443FE"/>
    <w:rsid w:val="00846034"/>
    <w:rsid w:val="00871B62"/>
    <w:rsid w:val="008C7E6E"/>
    <w:rsid w:val="00931B84"/>
    <w:rsid w:val="0096303F"/>
    <w:rsid w:val="00972869"/>
    <w:rsid w:val="00984CD1"/>
    <w:rsid w:val="009F23A9"/>
    <w:rsid w:val="00A01F29"/>
    <w:rsid w:val="00A17B5B"/>
    <w:rsid w:val="00A35E77"/>
    <w:rsid w:val="00A4729B"/>
    <w:rsid w:val="00A93D4A"/>
    <w:rsid w:val="00AA1230"/>
    <w:rsid w:val="00AA337A"/>
    <w:rsid w:val="00AB682C"/>
    <w:rsid w:val="00AD2D0A"/>
    <w:rsid w:val="00B31D1C"/>
    <w:rsid w:val="00B35D8D"/>
    <w:rsid w:val="00B41494"/>
    <w:rsid w:val="00B518D0"/>
    <w:rsid w:val="00B56650"/>
    <w:rsid w:val="00B73E0A"/>
    <w:rsid w:val="00B80F7A"/>
    <w:rsid w:val="00B961E0"/>
    <w:rsid w:val="00BF44DF"/>
    <w:rsid w:val="00C61A83"/>
    <w:rsid w:val="00C76443"/>
    <w:rsid w:val="00C8108C"/>
    <w:rsid w:val="00D40447"/>
    <w:rsid w:val="00D60693"/>
    <w:rsid w:val="00D659AC"/>
    <w:rsid w:val="00D80F05"/>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6468B"/>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253747">
      <w:bodyDiv w:val="1"/>
      <w:marLeft w:val="0"/>
      <w:marRight w:val="0"/>
      <w:marTop w:val="0"/>
      <w:marBottom w:val="0"/>
      <w:divBdr>
        <w:top w:val="none" w:sz="0" w:space="0" w:color="auto"/>
        <w:left w:val="none" w:sz="0" w:space="0" w:color="auto"/>
        <w:bottom w:val="none" w:sz="0" w:space="0" w:color="auto"/>
        <w:right w:val="none" w:sz="0" w:space="0" w:color="auto"/>
      </w:divBdr>
      <w:divsChild>
        <w:div w:id="1051417667">
          <w:marLeft w:val="0"/>
          <w:marRight w:val="0"/>
          <w:marTop w:val="0"/>
          <w:marBottom w:val="0"/>
          <w:divBdr>
            <w:top w:val="none" w:sz="0" w:space="0" w:color="auto"/>
            <w:left w:val="none" w:sz="0" w:space="0" w:color="auto"/>
            <w:bottom w:val="none" w:sz="0" w:space="0" w:color="auto"/>
            <w:right w:val="none" w:sz="0" w:space="0" w:color="auto"/>
          </w:divBdr>
        </w:div>
        <w:div w:id="419524124">
          <w:marLeft w:val="0"/>
          <w:marRight w:val="0"/>
          <w:marTop w:val="0"/>
          <w:marBottom w:val="0"/>
          <w:divBdr>
            <w:top w:val="none" w:sz="0" w:space="0" w:color="auto"/>
            <w:left w:val="none" w:sz="0" w:space="0" w:color="auto"/>
            <w:bottom w:val="none" w:sz="0" w:space="0" w:color="auto"/>
            <w:right w:val="none" w:sz="0" w:space="0" w:color="auto"/>
          </w:divBdr>
        </w:div>
        <w:div w:id="1663119544">
          <w:marLeft w:val="0"/>
          <w:marRight w:val="0"/>
          <w:marTop w:val="0"/>
          <w:marBottom w:val="0"/>
          <w:divBdr>
            <w:top w:val="none" w:sz="0" w:space="0" w:color="auto"/>
            <w:left w:val="none" w:sz="0" w:space="0" w:color="auto"/>
            <w:bottom w:val="none" w:sz="0" w:space="0" w:color="auto"/>
            <w:right w:val="none" w:sz="0" w:space="0" w:color="auto"/>
          </w:divBdr>
        </w:div>
      </w:divsChild>
    </w:div>
    <w:div w:id="1090154109">
      <w:bodyDiv w:val="1"/>
      <w:marLeft w:val="0"/>
      <w:marRight w:val="0"/>
      <w:marTop w:val="0"/>
      <w:marBottom w:val="0"/>
      <w:divBdr>
        <w:top w:val="none" w:sz="0" w:space="0" w:color="auto"/>
        <w:left w:val="none" w:sz="0" w:space="0" w:color="auto"/>
        <w:bottom w:val="none" w:sz="0" w:space="0" w:color="auto"/>
        <w:right w:val="none" w:sz="0" w:space="0" w:color="auto"/>
      </w:divBdr>
      <w:divsChild>
        <w:div w:id="894506652">
          <w:marLeft w:val="0"/>
          <w:marRight w:val="0"/>
          <w:marTop w:val="0"/>
          <w:marBottom w:val="0"/>
          <w:divBdr>
            <w:top w:val="none" w:sz="0" w:space="0" w:color="auto"/>
            <w:left w:val="none" w:sz="0" w:space="0" w:color="auto"/>
            <w:bottom w:val="none" w:sz="0" w:space="0" w:color="auto"/>
            <w:right w:val="none" w:sz="0" w:space="0" w:color="auto"/>
          </w:divBdr>
        </w:div>
        <w:div w:id="1693265850">
          <w:marLeft w:val="0"/>
          <w:marRight w:val="0"/>
          <w:marTop w:val="0"/>
          <w:marBottom w:val="0"/>
          <w:divBdr>
            <w:top w:val="none" w:sz="0" w:space="0" w:color="auto"/>
            <w:left w:val="none" w:sz="0" w:space="0" w:color="auto"/>
            <w:bottom w:val="none" w:sz="0" w:space="0" w:color="auto"/>
            <w:right w:val="none" w:sz="0" w:space="0" w:color="auto"/>
          </w:divBdr>
        </w:div>
        <w:div w:id="21098132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ker_yv\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E6089"/>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1598-S</BillDocName>
  <AmendType>AMH</AmendType>
  <SponsorAcronym>GRIF</SponsorAcronym>
  <DrafterAcronym>WAYV</DrafterAcronym>
  <DraftNumber>225</DraftNumber>
  <ReferenceNumber>SHB 1598</ReferenceNumber>
  <Floor>H AMD</Floor>
  <AmendmentNumber> 268</AmendmentNumber>
  <Sponsors>By Representative Griffey</Sponsors>
  <FloorAction>NOT CONSIDERED 12/23/2019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57</TotalTime>
  <Pages>2</Pages>
  <Words>422</Words>
  <Characters>2099</Characters>
  <Application>Microsoft Office Word</Application>
  <DocSecurity>8</DocSecurity>
  <Lines>58</Lines>
  <Paragraphs>18</Paragraphs>
  <ScaleCrop>false</ScaleCrop>
  <HeadingPairs>
    <vt:vector size="2" baseType="variant">
      <vt:variant>
        <vt:lpstr>Title</vt:lpstr>
      </vt:variant>
      <vt:variant>
        <vt:i4>1</vt:i4>
      </vt:variant>
    </vt:vector>
  </HeadingPairs>
  <TitlesOfParts>
    <vt:vector size="1" baseType="lpstr">
      <vt:lpstr>1598-S AMH GRIF WAYV 225</vt:lpstr>
    </vt:vector>
  </TitlesOfParts>
  <Company>Washington State Legislature</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1598-S AMH GRIF WAYV 225</dc:title>
  <dc:creator>Yvonne Walker</dc:creator>
  <cp:lastModifiedBy>Walker, Yvonne</cp:lastModifiedBy>
  <cp:revision>15</cp:revision>
  <dcterms:created xsi:type="dcterms:W3CDTF">2019-03-07T21:52:00Z</dcterms:created>
  <dcterms:modified xsi:type="dcterms:W3CDTF">2019-03-07T22:50:00Z</dcterms:modified>
</cp:coreProperties>
</file>