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f6554277843bf" /></Relationships>
</file>

<file path=word/document.xml><?xml version="1.0" encoding="utf-8"?>
<w:document xmlns:w="http://schemas.openxmlformats.org/wordprocessingml/2006/main">
  <w:body>
    <w:p>
      <w:r>
        <w:rPr>
          <w:b/>
        </w:rPr>
        <w:r>
          <w:rPr/>
          <w:t xml:space="preserve">1880-S</w:t>
        </w:r>
      </w:r>
      <w:r>
        <w:rPr>
          <w:b/>
        </w:rPr>
        <w:t xml:space="preserve"> </w:t>
        <w:t xml:space="preserve">AMH</w:t>
      </w:r>
      <w:r>
        <w:rPr>
          <w:b/>
        </w:rPr>
        <w:t xml:space="preserve"> </w:t>
        <w:r>
          <w:rPr/>
          <w:t xml:space="preserve">KLOB</w:t>
        </w:r>
      </w:r>
      <w:r>
        <w:rPr>
          <w:b/>
        </w:rPr>
        <w:t xml:space="preserve"> </w:t>
        <w:r>
          <w:rPr/>
          <w:t xml:space="preserve">H2058.1</w:t>
        </w:r>
      </w:r>
      <w:r>
        <w:rPr>
          <w:b/>
        </w:rPr>
        <w:t xml:space="preserve"> - NOT FOR FLOOR USE</w:t>
      </w:r>
    </w:p>
    <w:p>
      <w:pPr>
        <w:ind w:left="0" w:right="0" w:firstLine="576"/>
      </w:pPr>
    </w:p>
    <w:p>
      <w:pPr>
        <w:spacing w:before="480" w:after="0" w:line="408" w:lineRule="exact"/>
      </w:pPr>
      <w:r>
        <w:rPr>
          <w:b/>
          <w:u w:val="single"/>
        </w:rPr>
        <w:t xml:space="preserve">SHB 1880</w:t>
      </w:r>
      <w:r>
        <w:t xml:space="preserve"> -</w:t>
      </w:r>
      <w:r>
        <w:t xml:space="preserve"> </w:t>
        <w:t xml:space="preserve">H AMD</w:t>
      </w:r>
      <w:r>
        <w:t xml:space="preserve"> </w:t>
      </w:r>
      <w:r>
        <w:rPr>
          <w:b/>
        </w:rPr>
        <w:t xml:space="preserve">54</w:t>
      </w:r>
    </w:p>
    <w:p>
      <w:pPr>
        <w:spacing w:before="0" w:after="0" w:line="408" w:lineRule="exact"/>
        <w:ind w:left="0" w:right="0" w:firstLine="576"/>
        <w:jc w:val="left"/>
      </w:pPr>
      <w:r>
        <w:rPr/>
        <w:t xml:space="preserve">By Representative Kloba</w:t>
      </w:r>
    </w:p>
    <w:p>
      <w:pPr>
        <w:jc w:val="right"/>
      </w:pPr>
      <w:r>
        <w:rPr>
          <w:b/>
        </w:rPr>
        <w:t xml:space="preserve">ADOPTED 03/11/2019</w:t>
      </w:r>
    </w:p>
    <w:p>
      <w:pPr>
        <w:spacing w:before="0" w:after="0" w:line="408" w:lineRule="exact"/>
        <w:ind w:left="0" w:right="0" w:firstLine="576"/>
        <w:jc w:val="left"/>
      </w:pPr>
      <w:r>
        <w:rPr/>
        <w:t xml:space="preserve">On page 2, beginning on line 20, after "representatives" strike all material through "services" on line 22 and insert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On page 2, line 25, after "(k)" insert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2, line 29, after "Other" strike "tribal representatives" and insert "representatives from federally recognized Indian tribes"</w:t>
      </w:r>
    </w:p>
    <w:p>
      <w:pPr>
        <w:spacing w:before="0" w:after="0" w:line="408" w:lineRule="exact"/>
        <w:ind w:left="0" w:right="0" w:firstLine="576"/>
        <w:jc w:val="left"/>
      </w:pPr>
      <w:r>
        <w:rPr/>
        <w:t xml:space="preserve">On page 2, line 34, after "of the" strike "problem gambling study" and insert "gambling commission's problem gambling study and report"</w:t>
      </w:r>
    </w:p>
    <w:p>
      <w:pPr>
        <w:spacing w:before="0" w:after="0" w:line="408" w:lineRule="exact"/>
        <w:ind w:left="0" w:right="0" w:firstLine="576"/>
        <w:jc w:val="left"/>
      </w:pPr>
      <w:r>
        <w:rPr/>
        <w:t xml:space="preserve">On page 2, beginning on line 36, after "Review existing" strike "programs, services, and treatment" and insert "prevention, treatment, and recovery services"</w:t>
      </w:r>
    </w:p>
    <w:p>
      <w:pPr>
        <w:spacing w:before="0" w:after="0" w:line="408" w:lineRule="exact"/>
        <w:ind w:left="0" w:right="0" w:firstLine="576"/>
        <w:jc w:val="left"/>
      </w:pPr>
      <w:r>
        <w:rPr/>
        <w:t xml:space="preserve">On page 3, beginning on line 7, after "(i)" strike all material through "state" on line 8 and insert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On page 3, beginning on line 12, after "(iii)" strike all material through "meets" on line 13 and insert "What steps the state should take to improve the current licensing and certification of problem gambling providers to meet"</w:t>
      </w:r>
    </w:p>
    <w:p>
      <w:pPr>
        <w:spacing w:before="0" w:after="0" w:line="408" w:lineRule="exact"/>
        <w:ind w:left="0" w:right="0" w:firstLine="576"/>
        <w:jc w:val="left"/>
      </w:pPr>
      <w:r>
        <w:rPr>
          <w:u w:val="single"/>
        </w:rPr>
        <w:t xml:space="preserve">EFFECT:</w:t>
      </w:r>
      <w:r>
        <w:rPr/>
        <w:t xml:space="preserve"> (1) Updates terminology related to the representatives of federally recognized Indian tribes on the Problem Gambling Task Force (Task Force). Modifies the composition of the Task Force to add a representative from a problem gambling recovery group and a representative from a mental health provider group.</w:t>
      </w:r>
    </w:p>
    <w:p>
      <w:pPr>
        <w:spacing w:before="0" w:after="0" w:line="408" w:lineRule="exact"/>
        <w:ind w:left="0" w:right="0" w:firstLine="576"/>
        <w:jc w:val="left"/>
      </w:pPr>
      <w:r>
        <w:rPr/>
        <w:t xml:space="preserve">(2) Amends a Task Force directive to require a review of existing prevention, treatment, and recovery services to address problem gambling and gambling disorders in Washington by public, private, and nonprofit entities, rather than requiring a similar review that did not expressly reference prevention and recovery services.</w:t>
      </w:r>
    </w:p>
    <w:p>
      <w:pPr>
        <w:spacing w:before="0" w:after="0" w:line="408" w:lineRule="exact"/>
        <w:ind w:left="0" w:right="0" w:firstLine="576"/>
        <w:jc w:val="left"/>
      </w:pPr>
      <w:r>
        <w:rPr/>
        <w:t xml:space="preserve">(3) Requires the Task Force to review findings of the Washington State Gambling Commission's (WSGC) problem gambling study and report completed in 2018–19, rather than to review only the WSGC's study (and not explicitly the report).</w:t>
      </w:r>
    </w:p>
    <w:p>
      <w:pPr>
        <w:spacing w:before="0" w:after="0" w:line="408" w:lineRule="exact"/>
        <w:ind w:left="0" w:right="0" w:firstLine="576"/>
        <w:jc w:val="left"/>
      </w:pPr>
      <w:r>
        <w:rPr/>
        <w:t xml:space="preserve">(4) Requires the Task Force to recommend how to proceed forward with a state prevalence study measuring the adult participation in gambling and adult problem gambling in Washington, rather than requiring a recommendation on whether additional prevalence research is needed.</w:t>
      </w:r>
    </w:p>
    <w:p>
      <w:pPr>
        <w:spacing w:before="0" w:after="0" w:line="408" w:lineRule="exact"/>
        <w:ind w:left="0" w:right="0" w:firstLine="576"/>
        <w:jc w:val="left"/>
      </w:pPr>
      <w:r>
        <w:rPr/>
        <w:t xml:space="preserve">(5) Requires the Task Force to recommend what steps should be taken to improve current licensing/certification of problem gambling providers to meet current and projected future demand for services, rather than requiring a recommendation on whether the current delivery of state licensing/certification of problem gambling providers meets current and projected future demand for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7dbc80e294eca" /></Relationships>
</file>