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cc1b73c5b142c0" /></Relationships>
</file>

<file path=word/document.xml><?xml version="1.0" encoding="utf-8"?>
<w:document xmlns:w="http://schemas.openxmlformats.org/wordprocessingml/2006/main">
  <w:body>
    <w:p>
      <w:r>
        <w:rPr>
          <w:b/>
        </w:rPr>
        <w:r>
          <w:rPr/>
          <w:t xml:space="preserve">1923-S2</w:t>
        </w:r>
      </w:r>
      <w:r>
        <w:rPr>
          <w:b/>
        </w:rPr>
        <w:t xml:space="preserve"> </w:t>
        <w:t xml:space="preserve">AMH</w:t>
      </w:r>
      <w:r>
        <w:rPr>
          <w:b/>
        </w:rPr>
        <w:t xml:space="preserve"> </w:t>
        <w:r>
          <w:rPr/>
          <w:t xml:space="preserve">FITZ</w:t>
        </w:r>
      </w:r>
      <w:r>
        <w:rPr>
          <w:b/>
        </w:rPr>
        <w:t xml:space="preserve"> </w:t>
        <w:r>
          <w:rPr/>
          <w:t xml:space="preserve">H2366.3</w:t>
        </w:r>
      </w:r>
      <w:r>
        <w:rPr>
          <w:b/>
        </w:rPr>
        <w:t xml:space="preserve"> - NOT FOR FLOOR USE</w:t>
      </w:r>
    </w:p>
    <w:p>
      <w:pPr>
        <w:ind w:left="0" w:right="0" w:firstLine="576"/>
      </w:pPr>
    </w:p>
    <w:p>
      <w:pPr>
        <w:spacing w:before="480" w:after="0" w:line="408" w:lineRule="exact"/>
      </w:pPr>
      <w:r>
        <w:rPr>
          <w:b/>
          <w:u w:val="single"/>
        </w:rPr>
        <w:t xml:space="preserve">2SHB 1923</w:t>
      </w:r>
      <w:r>
        <w:t xml:space="preserve"> -</w:t>
      </w:r>
      <w:r>
        <w:t xml:space="preserve"> </w:t>
        <w:t xml:space="preserve">H AMD</w:t>
      </w:r>
      <w:r>
        <w:t xml:space="preserve"> </w:t>
      </w:r>
      <w:r>
        <w:rPr>
          <w:b/>
        </w:rPr>
        <w:t xml:space="preserve">332</w:t>
      </w:r>
    </w:p>
    <w:p>
      <w:pPr>
        <w:spacing w:before="0" w:after="0" w:line="408" w:lineRule="exact"/>
        <w:ind w:left="0" w:right="0" w:firstLine="576"/>
        <w:jc w:val="left"/>
      </w:pPr>
      <w:r>
        <w:rPr/>
        <w:t xml:space="preserve">By Representative Fitzgibbon</w:t>
      </w:r>
    </w:p>
    <w:p>
      <w:pPr>
        <w:jc w:val="right"/>
      </w:pPr>
      <w:r>
        <w:rPr>
          <w:b/>
        </w:rPr>
        <w:t xml:space="preserve">WITHDRAWN 03/13/2019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planning pursuant to RCW 36.70A.040 with a population greater than twenty thousand shall take two or more of the following actions by December 31, 2022, in order to increase its residential building capacity:</w:t>
      </w:r>
    </w:p>
    <w:p>
      <w:pPr>
        <w:spacing w:before="0" w:after="0" w:line="408" w:lineRule="exact"/>
        <w:ind w:left="0" w:right="0" w:firstLine="576"/>
        <w:jc w:val="left"/>
      </w:pPr>
      <w:r>
        <w:rPr/>
        <w:t xml:space="preserve">(a) Authorize development of an average of at least fifty residential units per acre in one or more areas of not fewer than five hundred acres that include one or more transit stations, as defined in RCW 9.91.025, served by commuter rail or light rail;</w:t>
      </w:r>
    </w:p>
    <w:p>
      <w:pPr>
        <w:spacing w:before="0" w:after="0" w:line="408" w:lineRule="exact"/>
        <w:ind w:left="0" w:right="0" w:firstLine="576"/>
        <w:jc w:val="left"/>
      </w:pPr>
      <w:r>
        <w:rPr/>
        <w:t xml:space="preserve">(b) Authorize development of an average of at least twenty-five residential units per acre in one or more areas of not fewer than five hundred acres that include one or more transit stations, as defined in RCW 9.91.025, served by scheduled bus service of at least four times per hour for twelve or more hours per day;</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Require no more than one on-site parking space per two bedrooms in multifamily zones that are located within one-half mile of a fixed guideway transit station;</w:t>
      </w:r>
    </w:p>
    <w:p>
      <w:pPr>
        <w:spacing w:before="0" w:after="0" w:line="408" w:lineRule="exact"/>
        <w:ind w:left="0" w:right="0" w:firstLine="576"/>
        <w:jc w:val="left"/>
      </w:pPr>
      <w:r>
        <w:rPr/>
        <w:t xml:space="preserve">(f) Authorize accessory dwelling units on all lots located in zoning districts that permit single-family residences, except that a city choosing this option may restrict the use of such units as short-term rentals, may impose a minimum lot size requirement of two thousand five hundred square feet, may restrict accessory dwelling units on lots that do not meet this minimum size requirement, and may not be required to permit an unattached accessory dwelling unit to be added to lots smaller than three thousand square feet;</w:t>
      </w:r>
    </w:p>
    <w:p>
      <w:pPr>
        <w:spacing w:before="0" w:after="0" w:line="408" w:lineRule="exact"/>
        <w:ind w:left="0" w:right="0" w:firstLine="576"/>
        <w:jc w:val="left"/>
      </w:pPr>
      <w:r>
        <w:rPr/>
        <w:t xml:space="preserve">(g) Adopt a planned action pursuant to RCW 43.21C.420;</w:t>
      </w:r>
    </w:p>
    <w:p>
      <w:pPr>
        <w:spacing w:before="0" w:after="0" w:line="408" w:lineRule="exact"/>
        <w:ind w:left="0" w:right="0" w:firstLine="576"/>
        <w:jc w:val="left"/>
      </w:pPr>
      <w:r>
        <w:rPr/>
        <w:t xml:space="preserve">(h)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(i) Adopt increases in categorical exemptions pursuant to RCW 43.21C.229 for residential or mixed-use development;</w:t>
      </w:r>
    </w:p>
    <w:p>
      <w:pPr>
        <w:spacing w:before="0" w:after="0" w:line="408" w:lineRule="exact"/>
        <w:ind w:left="0" w:right="0" w:firstLine="576"/>
        <w:jc w:val="left"/>
      </w:pPr>
      <w:r>
        <w:rPr/>
        <w:t xml:space="preserve">(j) Adopt a form-based code in one or more zoning districts that permit residential uses. "Form-based code" means a land development regulation that uses physical form, rather than separation of use, as the organizing principle for the code; and</w:t>
      </w:r>
    </w:p>
    <w:p>
      <w:pPr>
        <w:spacing w:before="0" w:after="0" w:line="408" w:lineRule="exact"/>
        <w:ind w:left="0" w:right="0" w:firstLine="576"/>
        <w:jc w:val="left"/>
      </w:pPr>
      <w:r>
        <w:rPr/>
        <w:t xml:space="preserve">(k) Authorize a duplex on each corner lot within all zoning districts that permit single-family residences.</w:t>
      </w:r>
    </w:p>
    <w:p>
      <w:pPr>
        <w:spacing w:before="0" w:after="0" w:line="408" w:lineRule="exact"/>
        <w:ind w:left="0" w:right="0" w:firstLine="576"/>
        <w:jc w:val="left"/>
      </w:pPr>
      <w:r>
        <w:rPr/>
        <w:t xml:space="preserve">(2) A city planning pursuant to RCW 36.70A.040 with a population greater than twenty thousand shall take one or more of the following actions by December 31, 2022, in order to increase housing affordability:</w:t>
      </w:r>
    </w:p>
    <w:p>
      <w:pPr>
        <w:spacing w:before="0" w:after="0" w:line="408" w:lineRule="exact"/>
        <w:ind w:left="0" w:right="0" w:firstLine="576"/>
        <w:jc w:val="left"/>
      </w:pPr>
      <w:r>
        <w:rPr/>
        <w:t xml:space="preserve">(a) Adopt an inclusionary zoning program, in which ten percent of the new housing capacity directed by this act consists of affordable housing;</w:t>
      </w:r>
    </w:p>
    <w:p>
      <w:pPr>
        <w:spacing w:before="0" w:after="0" w:line="408" w:lineRule="exact"/>
        <w:ind w:left="0" w:right="0" w:firstLine="576"/>
        <w:jc w:val="left"/>
      </w:pPr>
      <w:r>
        <w:rPr/>
        <w:t xml:space="preserve">(b) Provide surplus property to be used for affordable housing pursuant to RCW 39.33.015;</w:t>
      </w:r>
    </w:p>
    <w:p>
      <w:pPr>
        <w:spacing w:before="0" w:after="0" w:line="408" w:lineRule="exact"/>
        <w:ind w:left="0" w:right="0" w:firstLine="576"/>
        <w:jc w:val="left"/>
      </w:pPr>
      <w:r>
        <w:rPr/>
        <w:t xml:space="preserve">(c) Enact an affordable housing levy pursuant to RCW 84.52.105;</w:t>
      </w:r>
    </w:p>
    <w:p>
      <w:pPr>
        <w:spacing w:before="0" w:after="0" w:line="408" w:lineRule="exact"/>
        <w:ind w:left="0" w:right="0" w:firstLine="576"/>
        <w:jc w:val="left"/>
      </w:pPr>
      <w:r>
        <w:rPr/>
        <w:t xml:space="preserve">(d) Form or join existing subregional partnerships with neighboring jurisdictions to implement and promote affordable housing programs;</w:t>
      </w:r>
    </w:p>
    <w:p>
      <w:pPr>
        <w:spacing w:before="0" w:after="0" w:line="408" w:lineRule="exact"/>
        <w:ind w:left="0" w:right="0" w:firstLine="576"/>
        <w:jc w:val="left"/>
      </w:pPr>
      <w:r>
        <w:rPr/>
        <w:t xml:space="preserve">(e) Adopt a renters' commission to advise on issues of displacement; or</w:t>
      </w:r>
    </w:p>
    <w:p>
      <w:pPr>
        <w:spacing w:before="0" w:after="0" w:line="408" w:lineRule="exact"/>
        <w:ind w:left="0" w:right="0" w:firstLine="576"/>
        <w:jc w:val="left"/>
      </w:pPr>
      <w:r>
        <w:rPr/>
        <w:t xml:space="preserve">(f) Adopt a relocation assistance program.</w:t>
      </w:r>
    </w:p>
    <w:p>
      <w:pPr>
        <w:spacing w:before="0" w:after="0" w:line="408" w:lineRule="exact"/>
        <w:ind w:left="0" w:right="0" w:firstLine="576"/>
        <w:jc w:val="left"/>
      </w:pPr>
      <w:r>
        <w:rPr/>
        <w:t xml:space="preserve">(3) A city may rely on actions that take effect on or after January 1, 2012, for purposes of compliance with subsections (1) and (2) of this section.</w:t>
      </w:r>
    </w:p>
    <w:p>
      <w:pPr>
        <w:spacing w:before="0" w:after="0" w:line="408" w:lineRule="exact"/>
        <w:ind w:left="0" w:right="0" w:firstLine="576"/>
        <w:jc w:val="left"/>
      </w:pPr>
      <w:r>
        <w:rPr/>
        <w:t xml:space="preserve">(4) A city that is subject to subsections (1) and (2) of this section may choose instead to update the housing element of its comprehensive plan as required by section 2 of this act. A city that is subject to subsections (1) and (2) of this section that fails to comply with subsections (1) and (2) of this section by December 31, 2022, shall update the housing element of its comprehensive plan as required by section 2 of this act.</w:t>
      </w:r>
    </w:p>
    <w:p>
      <w:pPr>
        <w:spacing w:before="0" w:after="0" w:line="408" w:lineRule="exact"/>
        <w:ind w:left="0" w:right="0" w:firstLine="576"/>
        <w:jc w:val="left"/>
      </w:pPr>
      <w:r>
        <w:rPr/>
        <w:t xml:space="preserve">(5) Amendments to development regulations and other nonproject actions taken by a city to comply with subsections (1) and (2) of this section are categorically exempt from the requirements of chapter 43.21C RCW.</w:t>
      </w:r>
    </w:p>
    <w:p>
      <w:pPr>
        <w:spacing w:before="0" w:after="0" w:line="408" w:lineRule="exact"/>
        <w:ind w:left="0" w:right="0" w:firstLine="576"/>
        <w:jc w:val="left"/>
      </w:pPr>
      <w:r>
        <w:rPr/>
        <w:t xml:space="preserve">(6) A city that is subject to the requirements of subsections (1) and (2) of this section shall certify to the department once it has complied with the requirements of subsections (1) and (2) of this section.</w:t>
      </w:r>
    </w:p>
    <w:p>
      <w:pPr>
        <w:spacing w:before="0" w:after="0" w:line="408" w:lineRule="exact"/>
        <w:ind w:left="0" w:right="0" w:firstLine="576"/>
        <w:jc w:val="left"/>
      </w:pPr>
      <w:r>
        <w:rPr/>
        <w:t xml:space="preserve">(7) A city that is subject to the requirements of subsections (1) and (2) of this section that fails to comply with subsections (1) and (2) of this section by December 31, 2022, may not receive grants, loans, or any other form of funding from the following accounts until the city certifies to the funding authority, as part of its request for funding, that the city has complied with subsections (1) and (2) of this section: The public works assistance account established in RCW 43.155.050; the water quality capital account created in RCW 70.146.100; and the transportation improvement account created in RCW 47.26.084. A city that is subject to the requirements of subsections (1) and (2) of this section but that chooses instead to update the housing element of its comprehensive plan as required by section 2 of this act is not barred by this section from receiving grants, loans, or other forms of funding from these accounts.</w:t>
      </w:r>
    </w:p>
    <w:p>
      <w:pPr>
        <w:spacing w:before="0" w:after="0" w:line="408" w:lineRule="exact"/>
        <w:ind w:left="0" w:right="0" w:firstLine="576"/>
        <w:jc w:val="left"/>
      </w:pPr>
      <w:r>
        <w:rPr/>
        <w:t xml:space="preserve">(8) In meeting the requirements of subsections (1) and (2)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(9) A city that has complied with subsections (1) and (2) of this section, based on actions that take effect between the effective date of this section and December 31, 2022, is eligible to apply to the department for a one-time grant of one hundred thousand dollars in order to support planning and outreach efforts, subject to the availability of funds appropriated for that purpose.</w:t>
      </w:r>
    </w:p>
    <w:p>
      <w:pPr>
        <w:spacing w:before="0" w:after="0" w:line="408" w:lineRule="exact"/>
        <w:ind w:left="0" w:right="0" w:firstLine="576"/>
        <w:jc w:val="left"/>
      </w:pPr>
      <w:r>
        <w:rPr/>
        <w:t xml:space="preserve">(10) In implementing this act, cities shall prioritize the creation of affordable, inclusive neighborhoods and consider the risk of residential displacement, particularly in neighborhoods with communities at high risk of displacement.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addition to the requirements set forth in RCW 36.70A.070(2) for the housing element of a comprehensive plan, the cities described in subsection (2) of this section shall update the housing element of their comprehensive plan as described in subsection (3) of this section.</w:t>
      </w:r>
    </w:p>
    <w:p>
      <w:pPr>
        <w:spacing w:before="0" w:after="0" w:line="408" w:lineRule="exact"/>
        <w:ind w:left="0" w:right="0" w:firstLine="576"/>
        <w:jc w:val="left"/>
      </w:pPr>
      <w:r>
        <w:rPr/>
        <w:t xml:space="preserve">(2) This section applies to cities that are subject to section 1 (1) and (2) of this act but that fail to comply with the requirements of those subsections by December 31, 2022 or that choose to update the housing element of their comprehensive plan as described in this section in place of taking the actions described in section 1 (1) and (2) of this act.</w:t>
      </w:r>
    </w:p>
    <w:p>
      <w:pPr>
        <w:spacing w:before="0" w:after="0" w:line="408" w:lineRule="exact"/>
        <w:ind w:left="0" w:right="0" w:firstLine="576"/>
        <w:jc w:val="left"/>
      </w:pPr>
      <w:r>
        <w:rPr/>
        <w:t xml:space="preserve">(3) The housing element must:</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Include policies, regulations, and programs to conserve and preserve existing private market and subsidized affordable housing and existing manufactured home parks;</w:t>
      </w:r>
    </w:p>
    <w:p>
      <w:pPr>
        <w:spacing w:before="0" w:after="0" w:line="408" w:lineRule="exact"/>
        <w:ind w:left="0" w:right="0" w:firstLine="576"/>
        <w:jc w:val="left"/>
      </w:pPr>
      <w:r>
        <w:rPr/>
        <w:t xml:space="preserve">(c) In cities with populations of more than eighty thousand, include policies, regulations, and programs to minimize displacement;</w:t>
      </w:r>
    </w:p>
    <w:p>
      <w:pPr>
        <w:spacing w:before="0" w:after="0" w:line="408" w:lineRule="exact"/>
        <w:ind w:left="0" w:right="0" w:firstLine="576"/>
        <w:jc w:val="left"/>
      </w:pPr>
      <w:r>
        <w:rPr/>
        <w:t xml:space="preserve">(d) If the analysis in (a) of this subsection demonstrates a lack of sufficient sites to accommodate housing needs for extremely low-income, very low-income, and low-income households, include a program to make sufficient development capacity available at multifamily densities available for development;</w:t>
      </w:r>
    </w:p>
    <w:p>
      <w:pPr>
        <w:spacing w:before="0" w:after="0" w:line="408" w:lineRule="exact"/>
        <w:ind w:left="0" w:right="0" w:firstLine="576"/>
        <w:jc w:val="left"/>
      </w:pPr>
      <w:r>
        <w:rPr/>
        <w:t xml:space="preserve">(e) Analyze population and employment trends, with documentation of projections;</w:t>
      </w:r>
    </w:p>
    <w:p>
      <w:pPr>
        <w:spacing w:before="0" w:after="0" w:line="408" w:lineRule="exact"/>
        <w:ind w:left="0" w:right="0" w:firstLine="576"/>
        <w:jc w:val="left"/>
      </w:pPr>
      <w:r>
        <w:rPr/>
        <w:t xml:space="preserve">(f) Include an eight-year schedule of programs and actions to implement the policies of the housing element and to accommodate the planned affordable housing units, including incentives and funding for affordable housing; and</w:t>
      </w:r>
    </w:p>
    <w:p>
      <w:pPr>
        <w:spacing w:before="0" w:after="0" w:line="408" w:lineRule="exact"/>
        <w:ind w:left="0" w:right="0" w:firstLine="576"/>
        <w:jc w:val="left"/>
      </w:pPr>
      <w:r>
        <w:rPr/>
        <w:t xml:space="preserve">(g) Review and evaluate the previous housing element,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(4) The housing element update described in subsection (3) of this section must be incorporated into the housing element of a city's comprehensive plan by the next regularly scheduled comprehensive plan update as provided in RCW 36.70A.130.</w:t>
      </w:r>
    </w:p>
    <w:p>
      <w:pPr>
        <w:spacing w:before="0" w:after="0" w:line="408" w:lineRule="exact"/>
        <w:ind w:left="0" w:right="0" w:firstLine="576"/>
        <w:jc w:val="left"/>
      </w:pPr>
      <w:r>
        <w:rPr/>
        <w:t xml:space="preserve">(5) The department shall review and, if compliant with the requirements of this section and any other applicable requirements within this chapter, approve the housing element of a city's comprehensive plan after each periodic review required under RCW 36.70A.130.</w:t>
      </w:r>
    </w:p>
    <w:p>
      <w:pPr>
        <w:spacing w:before="0" w:after="0" w:line="408" w:lineRule="exact"/>
        <w:ind w:left="0" w:right="0" w:firstLine="576"/>
        <w:jc w:val="left"/>
      </w:pPr>
      <w:r>
        <w:rPr/>
        <w:t xml:space="preserve">(6) A city that certifies to the department that it intends to update the housing element of the city's comprehensive plan pursuant to this section is eligible to apply to the department for a one-time grant of one hundred thousand dollars in order to support planning and outreach efforts, subject to the availability of funds appropriated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w:t>
      </w:r>
      <w:r>
        <w:t>((</w:t>
      </w:r>
      <w:r>
        <w:rPr>
          <w:strike/>
        </w:rPr>
        <w:t xml:space="preserve">or</w:t>
      </w:r>
      <w:r>
        <w:t>))</w:t>
      </w:r>
    </w:p>
    <w:p>
      <w:pPr>
        <w:spacing w:before="0" w:after="0" w:line="408" w:lineRule="exact"/>
        <w:ind w:left="0" w:right="0" w:firstLine="576"/>
        <w:jc w:val="left"/>
      </w:pPr>
      <w:r>
        <w:rPr/>
        <w:t xml:space="preserve">(f) </w:t>
      </w:r>
      <w:r>
        <w:rPr>
          <w:u w:val="single"/>
        </w:rPr>
        <w:t xml:space="preserve">That a department certification of the housing element under section 2 of this act is erroneous; or</w:t>
      </w:r>
    </w:p>
    <w:p>
      <w:pPr>
        <w:spacing w:before="0" w:after="0" w:line="408" w:lineRule="exact"/>
        <w:ind w:left="0" w:right="0" w:firstLine="576"/>
        <w:jc w:val="left"/>
      </w:pPr>
      <w:r>
        <w:rPr>
          <w:u w:val="single"/>
        </w:rPr>
        <w:t xml:space="preserve">(g)</w:t>
      </w:r>
      <w:r>
        <w:rPr/>
        <w:t xml:space="preserve">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a department certification of the housing element under section 2 of this act is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(c) of this subsection.</w:t>
      </w:r>
    </w:p>
    <w:p>
      <w:pPr>
        <w:spacing w:before="0" w:after="0" w:line="408" w:lineRule="exact"/>
        <w:ind w:left="0" w:right="0" w:firstLine="576"/>
        <w:jc w:val="left"/>
      </w:pPr>
      <w:r>
        <w:rPr/>
        <w:t xml:space="preserve">(a) Except as provided in (c)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local governments planning under RCW 36.70A.040, promptly after approval or disapproval of a local government's housing element by the department as provided in section 2 of this act, the department shall publish a notice that the housing element has been approved or disapproved. For purposes of this section, the date of publication for the adoption or amendment of a housing element is the date that the department publishes notice that the housing element has been approved or disapproved.</w:t>
      </w:r>
    </w:p>
    <w:p>
      <w:pPr>
        <w:spacing w:before="0" w:after="0" w:line="408" w:lineRule="exact"/>
        <w:ind w:left="0" w:right="0" w:firstLine="576"/>
        <w:jc w:val="left"/>
      </w:pPr>
      <w:r>
        <w:rPr/>
        <w:t xml:space="preserve">(3)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rPr/>
        <w:t xml:space="preserve">(4)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rPr/>
        <w:t xml:space="preserve">(5)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u w:val="single"/>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u w:val="single"/>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r>
        <w:rPr>
          <w:u w:val="single"/>
        </w:rPr>
        <w:t xml:space="preserve">;</w:t>
      </w:r>
    </w:p>
    <w:p>
      <w:pPr>
        <w:spacing w:before="0" w:after="0" w:line="408" w:lineRule="exact"/>
        <w:ind w:left="0" w:right="0" w:firstLine="576"/>
        <w:jc w:val="left"/>
      </w:pPr>
      <w:r>
        <w:rPr>
          <w:u w:val="single"/>
        </w:rPr>
        <w:t xml:space="preserve">(5) Amendments to development regulations in order to comply with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are subject to the following requirements:</w:t>
      </w:r>
    </w:p>
    <w:p>
      <w:pPr>
        <w:spacing w:before="0" w:after="0" w:line="408" w:lineRule="exact"/>
        <w:ind w:left="0" w:right="0" w:firstLine="576"/>
        <w:jc w:val="left"/>
      </w:pPr>
      <w:r>
        <w:rPr/>
        <w:t xml:space="preserve">(1) For affordable housing units that are located within one-quarter mile of a transit stop that receives transit service at least four times per hour for twelve or more hours per day, minimum residential parking requirements may be no greater than one parking space per bedroom.</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no minimum residential parking requirement may be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model evergreen community management plans and ordinances under RCW 35.105.050, whether the project is sponsored by an entity that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rPr>
          <w:u w:val="single"/>
        </w:rPr>
        <w:t xml:space="preserve">The department may not award a grant or loan for a public facility located in a city subject to the requirements of section 1 (1) and (2) of this act unless the city has certified to the department that it is in compliance with section 1 (1) and (2) of this act.</w:t>
      </w:r>
    </w:p>
    <w:p>
      <w:pPr>
        <w:spacing w:before="0" w:after="0" w:line="408" w:lineRule="exact"/>
        <w:ind w:left="0" w:right="0" w:firstLine="576"/>
        <w:jc w:val="left"/>
      </w:pPr>
      <w:r>
        <w:rPr>
          <w:u w:val="single"/>
        </w:rPr>
        <w:t xml:space="preserve">(5)</w:t>
      </w:r>
      <w:r>
        <w:rPr/>
        <w:t xml:space="preserve">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2017 3rd sp.s. c 10 s 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rPr>
          <w:u w:val="single"/>
        </w:rPr>
        <w:t xml:space="preserve">The board may not award financial assistance for a proposed facility located in a city subject to the requirements of section 1 (1) and (2) of this act unless the city has certified to the board that it is in compliance with section 1 (1) and (2) of this act.</w:t>
      </w:r>
    </w:p>
    <w:p>
      <w:pPr>
        <w:spacing w:before="0" w:after="0" w:line="408" w:lineRule="exact"/>
        <w:ind w:left="0" w:right="0" w:firstLine="576"/>
        <w:jc w:val="left"/>
      </w:pPr>
      <w:r>
        <w:rPr>
          <w:u w:val="single"/>
        </w:rPr>
        <w:t xml:space="preserve">(5)</w:t>
      </w:r>
      <w:r>
        <w:rPr/>
        <w:t xml:space="preserve">(a)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board must implement policies and procedures designed to maximize local government consideration of other funds to finance local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086</w:t>
      </w:r>
      <w:r>
        <w:rPr/>
        <w:t xml:space="preserve"> and 2011 c 120 s 7 are each amended to read as follows:</w:t>
      </w:r>
    </w:p>
    <w:p>
      <w:pPr>
        <w:spacing w:before="0" w:after="0" w:line="408" w:lineRule="exact"/>
        <w:ind w:left="0" w:right="0" w:firstLine="576"/>
        <w:jc w:val="left"/>
      </w:pPr>
      <w:r>
        <w:rPr/>
        <w:t xml:space="preserve">Transportation improvement account projects selected for funding programs after fiscal year 1995 are governed by the requirements of this section.</w:t>
      </w:r>
    </w:p>
    <w:p>
      <w:pPr>
        <w:spacing w:before="0" w:after="0" w:line="408" w:lineRule="exact"/>
        <w:ind w:left="0" w:right="0" w:firstLine="576"/>
        <w:jc w:val="left"/>
      </w:pPr>
      <w:r>
        <w:rPr/>
        <w:t xml:space="preserve">The board shall allocate funds from the account by June 30th of each year for the ensuing fiscal year to urban counties, cities with a population of five thousand and over, and to transportation benefit districts. Projects may include, but are not limited to, multiagency projects and arterial improvement projects in fast-growing areas. The board shall endeavor to provide geographical diversity in selecting improvement projects to be funded from the account.</w:t>
      </w:r>
    </w:p>
    <w:p>
      <w:pPr>
        <w:spacing w:before="0" w:after="0" w:line="408" w:lineRule="exact"/>
        <w:ind w:left="0" w:right="0" w:firstLine="576"/>
        <w:jc w:val="left"/>
      </w:pPr>
      <w:r>
        <w:rPr/>
        <w:t xml:space="preserve">To be eligible to receive these funds, a project must be consistent with the Growth Management Act, the Clean Air Act including conformity, and the Commute Trip Reduction Law and consideration must have been given to the project's relationship, both actual and potential, with the statewide rail passenger program and rapid mass transit. </w:t>
      </w:r>
      <w:r>
        <w:rPr>
          <w:u w:val="single"/>
        </w:rPr>
        <w:t xml:space="preserve">For a project located in a city that is subject to the requirements of section 1 (1) and (2) of this act, the city must certify to the board that it is in compliance with section 1 (1) and (2) of this act in order for the project to be eligible to receive these funds.</w:t>
      </w:r>
      <w:r>
        <w:rPr/>
        <w:t xml:space="preserve"> Projects must be consistent with any adopted high capacity transportation plan, must consider existing or reasonably foreseeable congestion levels attributable to economic development or growth and all modes of transportation and safety, and must be partially funded by local government or private contributions, or a combination of such contributions. Priority consideration shall be given to those projects with the greatest percentage of local or private contribution, or both.</w:t>
      </w:r>
    </w:p>
    <w:p>
      <w:pPr>
        <w:spacing w:before="0" w:after="0" w:line="408" w:lineRule="exact"/>
        <w:ind w:left="0" w:right="0" w:firstLine="576"/>
        <w:jc w:val="left"/>
      </w:pPr>
      <w:r>
        <w:rPr/>
        <w:t xml:space="preserve">Within one year after board approval of an application for funding, the lead agency shall provide written certification to the board of the pledged local and private funding for the phase of the project approved. Funds allocated to an applicant that does not certify its funding within one year after approval may be reallocated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implementing section 1 of this act and evaluated under this chapter by a city, town, or county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town, or county.</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w:t>
      </w:r>
      <w:r>
        <w:t>((</w:t>
      </w:r>
      <w:r>
        <w:rPr>
          <w:strike/>
        </w:rPr>
        <w:t xml:space="preserve">or</w:t>
      </w:r>
      <w:r>
        <w:t>))</w:t>
      </w:r>
      <w:r>
        <w:rPr/>
        <w:t xml:space="preserve"> 36.70A.500</w:t>
      </w:r>
      <w:r>
        <w:rPr>
          <w:u w:val="single"/>
        </w:rPr>
        <w:t xml:space="preserve">, section 1 or 2 of this act,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Permanent supportive housing shall be a permitted use in all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Permanent supportive housing shall be a permitted use in all areas where multifamily housing is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w:t>
      </w:r>
      <w:r>
        <w:rPr>
          <w:u w:val="single"/>
        </w:rPr>
        <w:t xml:space="preserve">May not charge a higher per unit fee for multifamily residential construction than for single-family residential construction;</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w:t>
      </w:r>
      <w:r>
        <w:t>((</w:t>
      </w:r>
      <w:r>
        <w:rPr>
          <w:strike/>
        </w:rPr>
        <w:t xml:space="preserve">and</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(10) May not impose impact fees that cumulatively amount to more than fifty thousand dollars for any single-family residential project</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w:t>
      </w:r>
      <w:r>
        <w:t>((</w:t>
      </w:r>
      <w:r>
        <w:rPr>
          <w:strike/>
        </w:rPr>
        <w:t xml:space="preserve">family</w:t>
      </w:r>
      <w:r>
        <w:t>))</w:t>
      </w:r>
      <w:r>
        <w:rPr/>
        <w:t xml:space="preserve"> </w:t>
      </w:r>
      <w:r>
        <w:rPr>
          <w:u w:val="single"/>
        </w:rPr>
        <w:t xml:space="preserve">household</w:t>
      </w:r>
      <w:r>
        <w:rPr/>
        <w:t xml:space="preserve"> income adjusted for </w:t>
      </w:r>
      <w:r>
        <w:t>((</w:t>
      </w:r>
      <w:r>
        <w:rPr>
          <w:strike/>
        </w:rPr>
        <w:t xml:space="preserve">family</w:t>
      </w:r>
      <w:r>
        <w:t>))</w:t>
      </w:r>
      <w:r>
        <w:rPr/>
        <w:t xml:space="preserve"> </w:t>
      </w:r>
      <w:r>
        <w:rPr>
          <w:u w:val="single"/>
        </w:rPr>
        <w:t xml:space="preserve">household</w:t>
      </w:r>
      <w:r>
        <w:rPr/>
        <w:t xml:space="preserve"> size, for the county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1 and 2 of this act, referencing sections 1 and 2 of this act by bill or chapter number and section number, is not provided by June 30, 2019, in the omnibus appropriations act, sections 1 and 2 of this act are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Changes the scope of cities subject to Sections 1 and 2 of the act, from cities with a population greater than 10,000 to cities with a population greater than 20,000.</w:t>
      </w:r>
    </w:p>
    <w:p>
      <w:pPr>
        <w:spacing w:before="0" w:after="0" w:line="408" w:lineRule="exact"/>
        <w:ind w:left="0" w:right="0" w:firstLine="576"/>
        <w:jc w:val="left"/>
      </w:pPr>
      <w:r>
        <w:rPr/>
        <w:t xml:space="preserve">(2) Places certain restrictions on the scope and use of accessory dwelling units that may be authorized under the act.</w:t>
      </w:r>
    </w:p>
    <w:p>
      <w:pPr>
        <w:spacing w:before="0" w:after="0" w:line="408" w:lineRule="exact"/>
        <w:ind w:left="0" w:right="0" w:firstLine="576"/>
        <w:jc w:val="left"/>
      </w:pPr>
      <w:r>
        <w:rPr/>
        <w:t xml:space="preserve">(3) Adds the availability of one-time $100,000 planning grants from the Department of Commerce (Commerce), subject to appropriation, for cities that comply with the requirements of Section 1 within a certain time frame, and cities that certify to Commerce that they intend to update the housing element of their comprehensive plan consistent with Section 2 of the act.</w:t>
      </w:r>
    </w:p>
    <w:p>
      <w:pPr>
        <w:spacing w:before="0" w:after="0" w:line="408" w:lineRule="exact"/>
        <w:ind w:left="0" w:right="0" w:firstLine="576"/>
        <w:jc w:val="left"/>
      </w:pPr>
      <w:r>
        <w:rPr/>
        <w:t xml:space="preserve">(4) Provides that Sections 1 and 2 of the act are null and void unless specific funding for those sections is provided by June 30, 2019, in the 2019 Omnibus Appropriations Act.</w:t>
      </w:r>
    </w:p>
    <w:p>
      <w:pPr>
        <w:spacing w:before="0" w:after="0" w:line="408" w:lineRule="exact"/>
        <w:ind w:left="0" w:right="0" w:firstLine="576"/>
        <w:jc w:val="left"/>
      </w:pPr>
      <w:r>
        <w:rPr/>
        <w:t xml:space="preserve">(5) Removes option related to certifying permit applications as counter complete from the list of options that certain cities may choose to adopt related to increased residential building capacity.</w:t>
      </w:r>
    </w:p>
    <w:p>
      <w:pPr>
        <w:spacing w:before="0" w:after="0" w:line="408" w:lineRule="exact"/>
        <w:ind w:left="0" w:right="0" w:firstLine="576"/>
        <w:jc w:val="left"/>
      </w:pPr>
      <w:r>
        <w:rPr/>
        <w:t xml:space="preserve">(6) Adds a direction to cities that, in implementing the act, they must prioritize the creation of affordable, inclusive neighborhoods and consider the risk of residential displacement, particularly in neighborhoods with communities at high risk of displacement.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2791399cca4d72" /></Relationships>
</file>