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3f49b91924c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H4954.1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24, after "(d)" strike all material through "(e)" on line 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health care facility employee overtime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bd6cccd5b4763" /></Relationships>
</file>