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d40532f9b14d43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1965-S2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SHMK</w:t>
        </w:r>
      </w:r>
      <w:r>
        <w:rPr>
          <w:b/>
        </w:rPr>
        <w:t xml:space="preserve"> </w:t>
        <w:r>
          <w:rPr/>
          <w:t xml:space="preserve">H4763.1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2SHB 1965</w:t>
      </w:r>
      <w:r>
        <w:t xml:space="preserve"> -</w:t>
      </w:r>
      <w:r>
        <w:t xml:space="preserve"> </w:t>
        <w:t xml:space="preserve">H AMD TO H AMD (H-4236.1/20)</w:t>
      </w:r>
      <w:r>
        <w:t xml:space="preserve"> </w:t>
      </w:r>
      <w:r>
        <w:rPr>
          <w:b/>
        </w:rPr>
        <w:t xml:space="preserve">1166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Schmick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on page 3, line 38, after "(14)" strike all material through "(15)" on page 4, line 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Strikes the health care employee whistleblower retaliation protection law as a law that may be enforced under a qui tam action.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2e0654897a4dfb" /></Relationships>
</file>