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0db7f6292445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2004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DOGL</w:t>
        </w:r>
      </w:r>
      <w:r>
        <w:rPr>
          <w:b/>
        </w:rPr>
        <w:t xml:space="preserve"> </w:t>
        <w:r>
          <w:rPr/>
          <w:t xml:space="preserve">H2860.1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2004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539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Doglio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3, strike all material through "</w:t>
      </w:r>
      <w:r>
        <w:rPr>
          <w:u w:val="single"/>
        </w:rPr>
        <w:t xml:space="preserve">commission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7, strike "or" and insert "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"RCW"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(v) The Washington state housing finance commission, provided that the financing is for a nonprofit entity as defined in subsection (7)(f)(iv) of this section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the Washington State Housing Finance Commission is a qualifying financier of very low-income housing only for financing of mobile home park cooperatives or manufactured housing cooperatives, and not for other types of projects.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c696610674864" /></Relationships>
</file>