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8150e70924054" /></Relationships>
</file>

<file path=word/document.xml><?xml version="1.0" encoding="utf-8"?>
<w:document xmlns:w="http://schemas.openxmlformats.org/wordprocessingml/2006/main">
  <w:body>
    <w:p>
      <w:r>
        <w:rPr>
          <w:b/>
        </w:rPr>
        <w:r>
          <w:rPr/>
          <w:t xml:space="preserve">2042-S2</w:t>
        </w:r>
      </w:r>
      <w:r>
        <w:rPr>
          <w:b/>
        </w:rPr>
        <w:t xml:space="preserve"> </w:t>
        <w:t xml:space="preserve">AMH</w:t>
      </w:r>
      <w:r>
        <w:rPr>
          <w:b/>
        </w:rPr>
        <w:t xml:space="preserve"> </w:t>
        <w:r>
          <w:rPr/>
          <w:t xml:space="preserve">FEYJ</w:t>
        </w:r>
      </w:r>
      <w:r>
        <w:rPr>
          <w:b/>
        </w:rPr>
        <w:t xml:space="preserve"> </w:t>
        <w:r>
          <w:rPr/>
          <w:t xml:space="preserve">H3001.2</w:t>
        </w:r>
      </w:r>
      <w:r>
        <w:rPr>
          <w:b/>
        </w:rPr>
        <w:t xml:space="preserve"> - NOT FOR FLOOR USE</w:t>
      </w:r>
    </w:p>
    <w:p>
      <w:pPr>
        <w:ind w:left="0" w:right="0" w:firstLine="576"/>
      </w:pPr>
    </w:p>
    <w:p>
      <w:pPr>
        <w:spacing w:before="480" w:after="0" w:line="408" w:lineRule="exact"/>
      </w:pPr>
      <w:r>
        <w:rPr>
          <w:b/>
          <w:u w:val="single"/>
        </w:rPr>
        <w:t xml:space="preserve">2SHB 2042</w:t>
      </w:r>
      <w:r>
        <w:t xml:space="preserve"> -</w:t>
      </w:r>
      <w:r>
        <w:t xml:space="preserve"> </w:t>
        <w:t xml:space="preserve">H AMD</w:t>
      </w:r>
      <w:r>
        <w:t xml:space="preserve"> </w:t>
      </w:r>
      <w:r>
        <w:rPr>
          <w:b/>
        </w:rPr>
        <w:t xml:space="preserve">766</w:t>
      </w:r>
    </w:p>
    <w:p>
      <w:pPr>
        <w:spacing w:before="0" w:after="0" w:line="408" w:lineRule="exact"/>
        <w:ind w:left="0" w:right="0" w:firstLine="576"/>
        <w:jc w:val="left"/>
      </w:pPr>
      <w:r>
        <w:rPr/>
        <w:t xml:space="preserve">By Representative Fey</w:t>
      </w:r>
    </w:p>
    <w:p>
      <w:pPr>
        <w:jc w:val="right"/>
      </w:pPr>
      <w:r>
        <w:rPr>
          <w:b/>
        </w:rPr>
        <w:t xml:space="preserve">ADOPTED AS AMENDED 04/23/2019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the Washington State University extension energy program shall establish and administer a technical assistance and education program focused on the use of alternative fuel vehicles. Education and assistance may be provided to public agencies, including local governments and other state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w:t>
      </w:r>
      <w:r>
        <w:rPr>
          <w:u w:val="single"/>
        </w:rPr>
        <w:t xml:space="preserve">Except as provided in (c) of this subsection, t</w:t>
      </w:r>
      <w:r>
        <w:rPr/>
        <w:t xml:space="preserve">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w:t>
      </w:r>
      <w:r>
        <w:rPr>
          <w:u w:val="single"/>
        </w:rPr>
        <w:t xml:space="preserve">Except as provided in (c) of this subsection, p</w:t>
      </w:r>
      <w:r>
        <w:rPr/>
        <w:t xml:space="preserve">roceeds from the fee </w:t>
      </w:r>
      <w:r>
        <w:rPr>
          <w:u w:val="single"/>
        </w:rPr>
        <w:t xml:space="preserve">in subsection (1) of this section</w:t>
      </w:r>
      <w:r>
        <w:rPr/>
        <w:t xml:space="preserv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w:t>
      </w:r>
      <w:r>
        <w:rPr>
          <w:u w:val="single"/>
        </w:rPr>
        <w:t xml:space="preserve">Except as provided in (c) of this subsection, i</w:t>
      </w:r>
      <w:r>
        <w:rPr/>
        <w:t xml:space="preserve">f in any year the amount of proceeds from the fee collected under </w:t>
      </w:r>
      <w:r>
        <w:rPr>
          <w:u w:val="single"/>
        </w:rPr>
        <w:t xml:space="preserve">subsection (1) of</w:t>
      </w:r>
      <w:r>
        <w:rPr/>
        <w:t xml:space="preserve">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(c) Beginning August 1, 2019, until August 1, 2024, all proceeds from the fee in subsection (1) of this section must be deposited in the electric vehicle account created in RCW 82.44.200.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w:t>
      </w:r>
      <w:r>
        <w:t>((</w:t>
      </w:r>
      <w:r>
        <w:rPr>
          <w:strike/>
        </w:rPr>
        <w:t xml:space="preserve">fifty</w:t>
      </w:r>
      <w:r>
        <w:t>))</w:t>
      </w:r>
      <w:r>
        <w:rPr/>
        <w:t xml:space="preserve"> </w:t>
      </w:r>
      <w:r>
        <w:rPr>
          <w:u w:val="single"/>
        </w:rPr>
        <w:t xml:space="preserve">one hundred</w:t>
      </w:r>
      <w:r>
        <w:rPr/>
        <w:t xml:space="preserve"> dollar fee </w:t>
      </w:r>
      <w:r>
        <w:rPr>
          <w:u w:val="single"/>
        </w:rPr>
        <w:t xml:space="preserve">until August 1, 2029. Beginning August 1, 2029, the additional fee established in this subsection is reduced to fifty dollars</w:t>
      </w:r>
      <w:r>
        <w:rPr/>
        <w:t xml:space="preserve">.</w:t>
      </w:r>
    </w:p>
    <w:p>
      <w:pPr>
        <w:spacing w:before="0" w:after="0" w:line="408" w:lineRule="exact"/>
        <w:ind w:left="0" w:right="0" w:firstLine="576"/>
        <w:jc w:val="left"/>
      </w:pPr>
      <w:r>
        <w:rPr/>
        <w:t xml:space="preserve">(b) The fee required under (a) of this subsection must be </w:t>
      </w:r>
      <w:r>
        <w:t>((</w:t>
      </w:r>
      <w:r>
        <w:rPr>
          <w:strike/>
        </w:rPr>
        <w:t xml:space="preserve">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w:t>
      </w:r>
      <w:r>
        <w:t>))</w:t>
      </w:r>
      <w:r>
        <w:rPr/>
        <w:t xml:space="preserve"> deposited into the </w:t>
      </w:r>
      <w:r>
        <w:t>((</w:t>
      </w:r>
      <w:r>
        <w:rPr>
          <w:strike/>
        </w:rPr>
        <w:t xml:space="preserve">motor vehicle fund</w:t>
      </w:r>
      <w:r>
        <w:t>))</w:t>
      </w:r>
      <w:r>
        <w:rPr/>
        <w:t xml:space="preserve"> </w:t>
      </w:r>
      <w:r>
        <w:rPr>
          <w:u w:val="single"/>
        </w:rPr>
        <w:t xml:space="preserve">electric vehicle account</w:t>
      </w:r>
      <w:r>
        <w:rPr/>
        <w:t xml:space="preserve"> created in RCW </w:t>
      </w:r>
      <w:r>
        <w:t>((</w:t>
      </w:r>
      <w:r>
        <w:rPr>
          <w:strike/>
        </w:rPr>
        <w:t xml:space="preserve">46.68.070</w:t>
      </w:r>
      <w:r>
        <w:t>))</w:t>
      </w:r>
      <w:r>
        <w:rPr/>
        <w:t xml:space="preserve"> </w:t>
      </w:r>
      <w:r>
        <w:rPr>
          <w:u w:val="single"/>
        </w:rPr>
        <w:t xml:space="preserve">82.44.200</w:t>
      </w:r>
      <w:r>
        <w:rPr/>
        <w:t xml:space="preserve">.</w:t>
      </w:r>
    </w:p>
    <w:p>
      <w:pPr>
        <w:spacing w:before="0" w:after="0" w:line="408" w:lineRule="exact"/>
        <w:ind w:left="0" w:right="0" w:firstLine="576"/>
        <w:jc w:val="left"/>
      </w:pPr>
      <w:r>
        <w:rPr/>
        <w:t xml:space="preserve">(5)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(SHB 1512)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w:t>
      </w:r>
      <w:r>
        <w:rPr>
          <w:u w:val="single"/>
        </w:rPr>
        <w:t xml:space="preserve">allow all utilities to support transportation electrification to further the state's policy goals and</w:t>
      </w:r>
      <w:r>
        <w:rPr/>
        <w:t xml:space="preserve">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80.28.--- and </w:t>
      </w:r>
      <w:r>
        <w:rPr/>
        <w:t xml:space="preserve">2019 c ... (SHB 1512) s 4</w:t>
      </w:r>
      <w:r>
        <w:rPr/>
        <w:t xml:space="preserve">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w:t>
      </w:r>
      <w:r>
        <w:t>((</w:t>
      </w:r>
      <w:r>
        <w:rPr>
          <w:strike/>
        </w:rPr>
        <w:t xml:space="preserve">,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r>
        <w:t>))</w:t>
      </w:r>
      <w:r>
        <w:rPr>
          <w:u w:val="single"/>
        </w:rPr>
        <w:t xml:space="preserve">.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u w:val="single"/>
        </w:rPr>
        <w:t xml:space="preserve">(a) Any programs that the utility is proposing contemporaneously with the plan filing or anticipates later in the plan period;</w:t>
      </w:r>
    </w:p>
    <w:p>
      <w:pPr>
        <w:spacing w:before="0" w:after="0" w:line="408" w:lineRule="exact"/>
        <w:ind w:left="0" w:right="0" w:firstLine="576"/>
        <w:jc w:val="left"/>
      </w:pPr>
      <w:r>
        <w:rPr>
          <w:u w:val="single"/>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u w:val="single"/>
        </w:rPr>
        <w:t xml:space="preserve">(c) Anticipated costs of programs, subject to the restrictions in RCW 80.28.360</w:t>
      </w:r>
      <w:r>
        <w:rPr/>
        <w:t xml:space="preserve">.</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w:t>
      </w:r>
      <w:r>
        <w:rPr>
          <w:u w:val="single"/>
        </w:rPr>
        <w:t xml:space="preserve">and</w:t>
      </w:r>
      <w:r>
        <w:rPr/>
        <w:t xml:space="preserve"> (e) the benefits and costs of the planned actions</w:t>
      </w:r>
      <w:r>
        <w:t>((</w:t>
      </w:r>
      <w:r>
        <w:rPr>
          <w:strike/>
        </w:rPr>
        <w:t xml:space="preserve">; and (f) the overall customer experience</w:t>
      </w:r>
      <w:r>
        <w:t>))</w:t>
      </w:r>
      <w:r>
        <w:rPr/>
        <w:t xml:space="preserv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 (SHB 1512) s 5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w:t>
      </w:r>
      <w:r>
        <w:rPr>
          <w:u w:val="single"/>
        </w:rPr>
        <w:t xml:space="preserve">of the utilities' programs or plans in section 6(1) of this act</w:t>
      </w:r>
      <w:r>
        <w:rPr/>
        <w:t xml:space="preserve"> do not increase </w:t>
      </w:r>
      <w:r>
        <w:t>((</w:t>
      </w:r>
      <w:r>
        <w:rPr>
          <w:strike/>
        </w:rPr>
        <w:t xml:space="preserve">costs to ratepayers</w:t>
      </w:r>
      <w:r>
        <w:t>))</w:t>
      </w:r>
      <w:r>
        <w:rPr/>
        <w:t xml:space="preserve"> </w:t>
      </w:r>
      <w:r>
        <w:rPr>
          <w:u w:val="single"/>
        </w:rPr>
        <w:t xml:space="preserve">the annual retail revenue requirement of the utility, after accounting for the benefits of transportation electrification in each year of the plan,</w:t>
      </w:r>
      <w:r>
        <w:rPr/>
        <w:t xml:space="preserve">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9 through 15, chapter . . ., Laws of 2019 (sections 9 through 15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fuel cells, and infrastructure and expanding it to include the electric battery and fuel cell components of electric buses and zero emissions buses; and (d) extending the leasehold excise tax exemption to tenants of public lands for battery and fuel cell electric vehicle infrastructure.</w:t>
      </w:r>
    </w:p>
    <w:p>
      <w:pPr>
        <w:spacing w:before="0" w:after="0" w:line="408" w:lineRule="exact"/>
        <w:ind w:left="0" w:right="0" w:firstLine="576"/>
        <w:jc w:val="left"/>
      </w:pPr>
      <w:r>
        <w:rPr/>
        <w:t xml:space="preserve">(3) To measure the effectiveness of the tax preferences in sections 9 through 15, chapter . . ., Laws of 2019 (sections 9 through 15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that meet the qualifying criteria in subsection (1)(a)(i) or (ii) of this section and section 11(1)(a)(i) or (ii) of this act until the expiration date of this section, and is authorized to issue final rulings on vehicle model qualification for these criteria. A seller is not responsible for repayment of the tax exemption under this section and section 11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provided the vehicle meets the applicable qualifying criterion under subsection (1)(a)(iii) of this section and section 11(1)(a)(iii)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 of this section and section 11(1)(a)(iii)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11 of this act by month of purchase or lease start and vehicle make and model; the dollar amount of all state retail sales and use taxes exempted on or after the qualification period start date, under this section and section 11 of this act; and estimates of the future costs of leased vehicles that qualified for the exemption under this section and section 11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the effective date of this section.</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shall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(5) The definitions in section 10 of this act apply to this section.</w:t>
      </w:r>
    </w:p>
    <w:p>
      <w:pPr>
        <w:spacing w:before="0" w:after="0" w:line="408" w:lineRule="exact"/>
        <w:ind w:left="0" w:right="0" w:firstLine="576"/>
        <w:jc w:val="left"/>
      </w:pPr>
      <w:r>
        <w:rPr/>
        <w:t xml:space="preserve">(6)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w:t>
      </w:r>
      <w:r>
        <w:rPr>
          <w:u w:val="single"/>
        </w:rPr>
        <w:t xml:space="preserve">or fuel cells</w:t>
      </w:r>
      <w:r>
        <w:rPr/>
        <w:t xml:space="preserve"> for electric vehicles</w:t>
      </w:r>
      <w:r>
        <w:rPr>
          <w:u w:val="single"/>
        </w:rPr>
        <w:t xml:space="preserve">,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or fuel cells</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w:t>
      </w:r>
      <w:r>
        <w:rPr>
          <w:u w:val="single"/>
        </w:rPr>
        <w:t xml:space="preserve">battery or fuel cell</w:t>
      </w:r>
      <w:r>
        <w:rPr/>
        <w:t xml:space="preserve"> electric vehicle infrastructure</w:t>
      </w:r>
      <w:r>
        <w:rPr>
          <w:u w:val="single"/>
        </w:rPr>
        <w:t xml:space="preserve">, including hydrogen fueling stations</w:t>
      </w:r>
      <w:r>
        <w:rPr/>
        <w:t xml:space="preserv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w:t>
      </w:r>
      <w:r>
        <w:rPr>
          <w:u w:val="single"/>
        </w:rPr>
        <w:t xml:space="preserve">"Renewable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(4)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w:t>
      </w:r>
      <w:r>
        <w:rPr>
          <w:u w:val="single"/>
        </w:rPr>
        <w:t xml:space="preserve">or fuel cells,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rPr>
          <w:u w:val="single"/>
        </w:rPr>
        <w:t xml:space="preserve">or fuel cells</w:t>
      </w:r>
      <w:r>
        <w:rPr/>
        <w:t xml:space="preserve">; </w:t>
      </w:r>
      <w:r>
        <w:t>((</w:t>
      </w:r>
      <w:r>
        <w:rPr>
          <w:strike/>
        </w:rPr>
        <w:t xml:space="preserve">and</w:t>
      </w:r>
      <w:r>
        <w:t>))</w:t>
      </w:r>
    </w:p>
    <w:p>
      <w:pPr>
        <w:spacing w:before="0" w:after="0" w:line="408" w:lineRule="exact"/>
        <w:ind w:left="0" w:right="0" w:firstLine="576"/>
        <w:jc w:val="left"/>
      </w:pPr>
      <w:r>
        <w:rPr/>
        <w:t xml:space="preserve">(c)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 </w:t>
      </w:r>
      <w:r>
        <w:rPr>
          <w:u w:val="single"/>
        </w:rPr>
        <w:t xml:space="preserve">and sections 10 and 11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or local governments, including housing authorities,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must conduct a study to identify opportunities to reduce barriers to battery and fuel cell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battery and fuel cell electric vehicles that are eligible for the tax exemptions under sections 10 and 11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(2) The department of commerce must provide a report detailing the findings of this study to the transportation committees of the legislature by June 30, 2020,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22 and 23, chapter . . ., Laws of 2019 (sections 22 and 23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22 and 23, chapter . . ., Laws of 2019 (sections 22 and 23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"battery-powered electric marine propulsion system" is a fully electric outboard or inboard motor used by vessels, the sole source of propulsive power of which is the energy stored in the battery packs. It includes required accessories, such as throttles/displays and battery packs.</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"battery-powered electric marine propulsion system" and "vessel" have the same meanings as in section 23 of this act.</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13, and 15 through 23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14 of this act take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programs related to green transportation adoption:</w:t>
      </w:r>
    </w:p>
    <w:p>
      <w:pPr>
        <w:spacing w:before="0" w:after="0" w:line="408" w:lineRule="exact"/>
        <w:ind w:left="0" w:right="0" w:firstLine="576"/>
        <w:jc w:val="left"/>
      </w:pPr>
      <w:r>
        <w:rPr/>
        <w:t xml:space="preserve">(1) Modifies the qualification criteria for the alternative fuel vehicle retail sales and use tax exemption for used vehicles by reducing the maximum used vehicle sales price or fair market value for eligibility for the exemption from $45,000 to $30,000;</w:t>
      </w:r>
    </w:p>
    <w:p>
      <w:pPr>
        <w:spacing w:before="0" w:after="0" w:line="408" w:lineRule="exact"/>
        <w:ind w:left="0" w:right="0" w:firstLine="576"/>
        <w:jc w:val="left"/>
      </w:pPr>
      <w:r>
        <w:rPr/>
        <w:t xml:space="preserve">(2) Clarifies that local governments and other state political subdivisions are eligible to participate in the technical assistance and education program on alternative fuel vehicles for public agencies;</w:t>
      </w:r>
    </w:p>
    <w:p>
      <w:pPr>
        <w:spacing w:before="0" w:after="0" w:line="408" w:lineRule="exact"/>
        <w:ind w:left="0" w:right="0" w:firstLine="576"/>
        <w:jc w:val="left"/>
      </w:pPr>
      <w:r>
        <w:rPr/>
        <w:t xml:space="preserve">(3) Expands eligibility for participation in the alternative fuel car sharing pilot grant program to support car sharing for underserved communities and lower income workforce members from nonprofit organizations to nonprofit organizations or local governments, including housing authorities; and</w:t>
      </w:r>
    </w:p>
    <w:p>
      <w:pPr>
        <w:spacing w:before="0" w:after="0" w:line="408" w:lineRule="exact"/>
        <w:ind w:left="0" w:right="0" w:firstLine="576"/>
        <w:jc w:val="left"/>
      </w:pPr>
      <w:r>
        <w:rPr/>
        <w:t xml:space="preserve">(4) Modifies the deadline for the Department of Commerce study on reducing barriers to battery and hydrogen fuel cell electric vehicle adoption by lower income residents of the state through the use of financing assistance from December 1, 2019, to June 30,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8cb846736475a" /></Relationships>
</file>