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582e492ed421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2157-S2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WALJ</w:t>
        </w:r>
      </w:r>
      <w:r>
        <w:rPr>
          <w:b/>
        </w:rPr>
        <w:t xml:space="preserve"> </w:t>
        <w:r>
          <w:rPr/>
          <w:t xml:space="preserve">H3078.1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2157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800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Walsh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29, line 27, after "statewide;"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29, line 28, after "(g)" insert "Analyze the net migration of residents moving into and out of states that have implemented progressive tax structures;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Directs the Tax Structure Work Group to analyze the net migration of residents moving into and out of state that have implemented progressive tax structures.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966e03cc047ae" /></Relationships>
</file>