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35f7d660224d12" /></Relationships>
</file>

<file path=word/document.xml><?xml version="1.0" encoding="utf-8"?>
<w:document xmlns:w="http://schemas.openxmlformats.org/wordprocessingml/2006/main">
  <w:body>
    <w:p>
      <w:r>
        <w:rPr>
          <w:b/>
        </w:rPr>
        <w:r>
          <w:rPr/>
          <w:t xml:space="preserve">2342-S</w:t>
        </w:r>
      </w:r>
      <w:r>
        <w:rPr>
          <w:b/>
        </w:rPr>
        <w:t xml:space="preserve"> </w:t>
        <w:t xml:space="preserve">AMH</w:t>
      </w:r>
      <w:r>
        <w:rPr>
          <w:b/>
        </w:rPr>
        <w:t xml:space="preserve"> </w:t>
        <w:r>
          <w:rPr/>
          <w:t xml:space="preserve">FITZ</w:t>
        </w:r>
      </w:r>
      <w:r>
        <w:rPr>
          <w:b/>
        </w:rPr>
        <w:t xml:space="preserve"> </w:t>
        <w:r>
          <w:rPr/>
          <w:t xml:space="preserve">H4962.4</w:t>
        </w:r>
      </w:r>
      <w:r>
        <w:rPr>
          <w:b/>
        </w:rPr>
        <w:t xml:space="preserve"> - NOT FOR FLOOR USE</w:t>
      </w:r>
    </w:p>
    <w:p>
      <w:pPr>
        <w:ind w:left="0" w:right="0" w:firstLine="576"/>
      </w:pPr>
    </w:p>
    <w:p>
      <w:pPr>
        <w:spacing w:before="480" w:after="0" w:line="408" w:lineRule="exact"/>
      </w:pPr>
      <w:r>
        <w:rPr>
          <w:b/>
          <w:u w:val="single"/>
        </w:rPr>
        <w:t xml:space="preserve">SHB 2342</w:t>
      </w:r>
      <w:r>
        <w:t xml:space="preserve"> -</w:t>
      </w:r>
      <w:r>
        <w:t xml:space="preserve"> </w:t>
        <w:t xml:space="preserve">H AMD</w:t>
      </w:r>
      <w:r>
        <w:t xml:space="preserve"> </w:t>
      </w:r>
      <w:r>
        <w:rPr>
          <w:b/>
        </w:rPr>
        <w:t xml:space="preserve">1479</w:t>
      </w:r>
    </w:p>
    <w:p>
      <w:pPr>
        <w:spacing w:before="0" w:after="0" w:line="408" w:lineRule="exact"/>
        <w:ind w:left="0" w:right="0" w:firstLine="576"/>
        <w:jc w:val="left"/>
      </w:pPr>
      <w:r>
        <w:rPr/>
        <w:t xml:space="preserve">By Representative Fitzgibbon</w:t>
      </w:r>
    </w:p>
    <w:p>
      <w:pPr>
        <w:jc w:val="right"/>
      </w:pPr>
      <w:r>
        <w:rPr>
          <w:b/>
        </w:rPr>
        <w:t xml:space="preserve">ADOPTED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w:t>
      </w:r>
      <w:r>
        <w:t>((</w:t>
      </w:r>
      <w:r>
        <w:rPr>
          <w:strike/>
        </w:rPr>
        <w:t xml:space="preserve">, except that, until December 31, 2015, the program shall provide for consideration of amendments of an urban growth area in accordance with RCW 36.70A.1301 once every year</w:t>
      </w:r>
      <w:r>
        <w:t>))</w:t>
      </w:r>
      <w:r>
        <w:rPr/>
        <w:t xml:space="preserve">. "Updates" means to review and revise, if needed, according to subsection (1) of this section, and the deadlines in subsections (4) and (5) of this section or in accordance with the provisions of subsection </w:t>
      </w:r>
      <w:r>
        <w:t>((</w:t>
      </w:r>
      <w:r>
        <w:rPr>
          <w:strike/>
        </w:rPr>
        <w:t xml:space="preserve">(6)</w:t>
      </w:r>
      <w:r>
        <w:t>))</w:t>
      </w:r>
      <w:r>
        <w:rPr/>
        <w:t xml:space="preserve"> </w:t>
      </w:r>
      <w:r>
        <w:rPr>
          <w:u w:val="single"/>
        </w:rPr>
        <w:t xml:space="preserve">(7)</w:t>
      </w:r>
      <w:r>
        <w:rPr/>
        <w:t xml:space="preserve">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43.21C.031(2)</w:t>
      </w:r>
      <w:r>
        <w:t>))</w:t>
      </w:r>
      <w:r>
        <w:rPr/>
        <w:t xml:space="preserve"> </w:t>
      </w:r>
      <w:r>
        <w:rPr>
          <w:u w:val="single"/>
        </w:rPr>
        <w:t xml:space="preserve">43.21C.440</w:t>
      </w:r>
      <w:r>
        <w:rPr/>
        <w:t xml:space="preserve">,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w:t>
      </w:r>
      <w:r>
        <w:t>((</w:t>
      </w:r>
      <w:r>
        <w:rPr>
          <w:strike/>
        </w:rPr>
        <w:t xml:space="preserve">subsection</w:t>
      </w:r>
      <w:r>
        <w:t>))</w:t>
      </w:r>
      <w:r>
        <w:rPr/>
        <w:t xml:space="preserve"> </w:t>
      </w:r>
      <w:r>
        <w:rPr>
          <w:u w:val="single"/>
        </w:rPr>
        <w:t xml:space="preserve">subsections (4) and</w:t>
      </w:r>
      <w:r>
        <w:rPr/>
        <w:t xml:space="preserve">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w:t>
      </w:r>
      <w:r>
        <w:t>((</w:t>
      </w:r>
      <w:r>
        <w:rPr>
          <w:strike/>
        </w:rPr>
        <w:t xml:space="preserve">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strike/>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strike/>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strike/>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strike/>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strike/>
        </w:rPr>
        <w:t xml:space="preserve">(5)</w:t>
      </w:r>
      <w:r>
        <w:t>))</w:t>
      </w:r>
      <w:r>
        <w:rPr/>
        <w:t xml:space="preserve"> Except as otherwise provided in subsections </w:t>
      </w:r>
      <w:r>
        <w:t>((</w:t>
      </w:r>
      <w:r>
        <w:rPr>
          <w:strike/>
        </w:rPr>
        <w:t xml:space="preserve">(6) and (8)</w:t>
      </w:r>
      <w:r>
        <w:t>))</w:t>
      </w:r>
      <w:r>
        <w:rPr/>
        <w:t xml:space="preserve"> </w:t>
      </w:r>
      <w:r>
        <w:rPr>
          <w:u w:val="single"/>
        </w:rPr>
        <w:t xml:space="preserve">(7) and (9)</w:t>
      </w:r>
      <w:r>
        <w:rPr/>
        <w:t xml:space="preserve"> of this section, </w:t>
      </w:r>
      <w:r>
        <w:t>((</w:t>
      </w:r>
      <w:r>
        <w:rPr>
          <w:strike/>
        </w:rPr>
        <w:t xml:space="preserve">following the review of comprehensive plans and development regulations required by subsection (4) of this section,</w:t>
      </w:r>
      <w:r>
        <w:t>))</w:t>
      </w:r>
      <w:r>
        <w:rPr/>
        <w:t xml:space="preserve">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w:t>
      </w:r>
      <w:r>
        <w:t>((</w:t>
      </w:r>
      <w:r>
        <w:rPr>
          <w:strike/>
        </w:rPr>
        <w:t xml:space="preserve">and every eight years thereafter,</w:t>
      </w:r>
      <w:r>
        <w:t>))</w:t>
      </w:r>
      <w:r>
        <w:rPr/>
        <w:t xml:space="preserve"> for King, Pierce, and Snohomish counties and the cities within those counties;</w:t>
      </w:r>
    </w:p>
    <w:p>
      <w:pPr>
        <w:spacing w:before="0" w:after="0" w:line="408" w:lineRule="exact"/>
        <w:ind w:left="0" w:right="0" w:firstLine="576"/>
        <w:jc w:val="left"/>
      </w:pPr>
      <w:r>
        <w:rPr/>
        <w:t xml:space="preserve">(b) On or before June 30, 2016, </w:t>
      </w:r>
      <w:r>
        <w:t>((</w:t>
      </w:r>
      <w:r>
        <w:rPr>
          <w:strike/>
        </w:rPr>
        <w:t xml:space="preserve">and every eight years thereafter,</w:t>
      </w:r>
      <w:r>
        <w:t>))</w:t>
      </w:r>
      <w:r>
        <w:rPr/>
        <w:t xml:space="preserve">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w:t>
      </w:r>
      <w:r>
        <w:t>((</w:t>
      </w:r>
      <w:r>
        <w:rPr>
          <w:strike/>
        </w:rPr>
        <w:t xml:space="preserve">and every eight years thereafter,</w:t>
      </w:r>
      <w:r>
        <w:t>))</w:t>
      </w:r>
      <w:r>
        <w:rPr/>
        <w:t xml:space="preserve">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w:t>
      </w:r>
      <w:r>
        <w:t>((</w:t>
      </w:r>
      <w:r>
        <w:rPr>
          <w:strike/>
        </w:rPr>
        <w:t xml:space="preserve">and every eight years thereafter,</w:t>
      </w:r>
      <w:r>
        <w:t>))</w:t>
      </w:r>
      <w:r>
        <w:rPr/>
        <w:t xml:space="preserve">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u w:val="single"/>
        </w:rPr>
        <w:t xml:space="preserve">(5)(a) Except as otherwise provided in subsections (7) and (9)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u w:val="single"/>
        </w:rPr>
        <w:t xml:space="preserve">(i) On or before June 30, 2024, and every ten years thereafter, for King, Kitsap, Pierce, and Snohomish counties and the cities within those counties;</w:t>
      </w:r>
    </w:p>
    <w:p>
      <w:pPr>
        <w:spacing w:before="0" w:after="0" w:line="408" w:lineRule="exact"/>
        <w:ind w:left="0" w:right="0" w:firstLine="576"/>
        <w:jc w:val="left"/>
      </w:pPr>
      <w:r>
        <w:rPr>
          <w:u w:val="single"/>
        </w:rPr>
        <w:t xml:space="preserve">(ii) On or before June 30, 2025, and every ten years thereafter, for Clallam, Clark, Island, Jefferson, Lewis, Mason, San Juan, Skagit, Thurston, and Whatcom counties and the cities within those counties;</w:t>
      </w:r>
    </w:p>
    <w:p>
      <w:pPr>
        <w:spacing w:before="0" w:after="0" w:line="408" w:lineRule="exact"/>
        <w:ind w:left="0" w:right="0" w:firstLine="576"/>
        <w:jc w:val="left"/>
      </w:pPr>
      <w:r>
        <w:rPr>
          <w:u w:val="single"/>
        </w:rPr>
        <w:t xml:space="preserve">(iii) On or before June 30, 2026, and every ten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u w:val="single"/>
        </w:rPr>
        <w:t xml:space="preserve">(iv) On or before June 30, 2027, and every ten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u w:val="single"/>
        </w:rPr>
        <w:t xml:space="preserve">(b) For Benton, Clark, Franklin, King, Kitsap, Pierce, Snohomish, Spokane, Thurston, and Whatcom counties, and the cities within these counties, the review and possible revision of comprehensive plans and development regulations required by this subsection (5)(b) is required every eight years, rather than every ten years as provided in (a) of this subsection, if the legislature has not appropriated the funding amounts specified in this subsection (5)(b) by the following dates to the department for the purpose of grants associated with the review and revision process required by subsection (6) of this section:</w:t>
      </w:r>
    </w:p>
    <w:p>
      <w:pPr>
        <w:spacing w:before="0" w:after="0" w:line="408" w:lineRule="exact"/>
        <w:ind w:left="0" w:right="0" w:firstLine="576"/>
        <w:jc w:val="left"/>
      </w:pPr>
      <w:r>
        <w:rPr>
          <w:u w:val="single"/>
        </w:rPr>
        <w:t xml:space="preserve">(i) By June 30, 2027, a minimum of eighty-five thousand dollars per affected jurisdiction, for the review and revision process required by subsection (6) of this section to occur during the years 2029 through 2031; and</w:t>
      </w:r>
    </w:p>
    <w:p>
      <w:pPr>
        <w:spacing w:before="0" w:after="0" w:line="408" w:lineRule="exact"/>
        <w:ind w:left="0" w:right="0" w:firstLine="576"/>
        <w:jc w:val="left"/>
      </w:pPr>
      <w:r>
        <w:rPr>
          <w:u w:val="single"/>
        </w:rPr>
        <w:t xml:space="preserve">(ii) By June 30, 2037, a minimum of one hundred five thousand dollars per affected jurisdiction, for the review and revision process required by subsection (6) of this section to occur during the years 2039 through 2041.</w:t>
      </w:r>
    </w:p>
    <w:p>
      <w:pPr>
        <w:spacing w:before="0" w:after="0" w:line="408" w:lineRule="exact"/>
        <w:ind w:left="0" w:right="0" w:firstLine="576"/>
        <w:jc w:val="left"/>
      </w:pPr>
      <w:r>
        <w:rPr/>
        <w:t xml:space="preserve">(6)(a) </w:t>
      </w:r>
      <w:r>
        <w:rPr>
          <w:u w:val="single"/>
        </w:rPr>
        <w:t xml:space="preserve">No later than five years after each of the deadlines for the review and possible revision of comprehensive plans and development regulations specified in subsection (5) of this section, Benton, Clark, Franklin, King, Kitsap, Pierce, Snohomish, Spokane, Thurston, and Whatcom counties and the cities within these counties, shall take additional action to review and, if needed, revise the following specific elements of their comprehensive plans and development regulations to ensure the plan and regulations comply with the requirements of this chapter:</w:t>
      </w:r>
    </w:p>
    <w:p>
      <w:pPr>
        <w:spacing w:before="0" w:after="0" w:line="408" w:lineRule="exact"/>
        <w:ind w:left="0" w:right="0" w:firstLine="576"/>
        <w:jc w:val="left"/>
      </w:pPr>
      <w:r>
        <w:rPr>
          <w:u w:val="single"/>
        </w:rPr>
        <w:t xml:space="preserve">(i) The housing element of the comprehensive plan, with the topics and scope subject to rules adopted by the department pursuant to (b) of this subsection; and</w:t>
      </w:r>
    </w:p>
    <w:p>
      <w:pPr>
        <w:spacing w:before="0" w:after="0" w:line="408" w:lineRule="exact"/>
        <w:ind w:left="0" w:right="0" w:firstLine="576"/>
        <w:jc w:val="left"/>
      </w:pPr>
      <w:r>
        <w:rPr>
          <w:u w:val="single"/>
        </w:rPr>
        <w:t xml:space="preserve">(ii) Development regulations that protect critical areas, in the event that the department or another state agency has issued official updated guidance regarding critical areas since the due date of the county's or city's previous review and possible revision of its comprehensive plan and development regulations.</w:t>
      </w:r>
    </w:p>
    <w:p>
      <w:pPr>
        <w:spacing w:before="0" w:after="0" w:line="408" w:lineRule="exact"/>
        <w:ind w:left="0" w:right="0" w:firstLine="576"/>
        <w:jc w:val="left"/>
      </w:pPr>
      <w:r>
        <w:rPr>
          <w:u w:val="single"/>
        </w:rPr>
        <w:t xml:space="preserve">(b) The department shall adopt rules to specify the threshold conditions that will bring about the need for review and, if needed, revision of development regulation updates or other updates needed to meet the goals and requirements of the housing element. In specifying these threshold conditions, the department shall address, at a minimum, the following factors:</w:t>
      </w:r>
    </w:p>
    <w:p>
      <w:pPr>
        <w:spacing w:before="0" w:after="0" w:line="408" w:lineRule="exact"/>
        <w:ind w:left="0" w:right="0" w:firstLine="576"/>
        <w:jc w:val="left"/>
      </w:pPr>
      <w:r>
        <w:rPr>
          <w:u w:val="single"/>
        </w:rPr>
        <w:t xml:space="preserve">(i) What features, such as shifts in the regional housing market, would necessitate that counties and cities identified in (a) of this subsection take additional action under (a) of this subsection;</w:t>
      </w:r>
    </w:p>
    <w:p>
      <w:pPr>
        <w:spacing w:before="0" w:after="0" w:line="408" w:lineRule="exact"/>
        <w:ind w:left="0" w:right="0" w:firstLine="576"/>
        <w:jc w:val="left"/>
      </w:pPr>
      <w:r>
        <w:rPr>
          <w:u w:val="single"/>
        </w:rPr>
        <w:t xml:space="preserve">(ii) Based on the identified factors, how to determine which counties and cities identified in (a) of this subsection must take additional actions to review and, if needed, revise development regulations or take other actions to achieve the goals and requirements of the housing element of their comprehensive plan;</w:t>
      </w:r>
    </w:p>
    <w:p>
      <w:pPr>
        <w:spacing w:before="0" w:after="0" w:line="408" w:lineRule="exact"/>
        <w:ind w:left="0" w:right="0" w:firstLine="576"/>
        <w:jc w:val="left"/>
      </w:pPr>
      <w:r>
        <w:rPr>
          <w:u w:val="single"/>
        </w:rPr>
        <w:t xml:space="preserve">(iii) Which topics or components of the housing element must be reviewed and, if needed, what actions must be taken in order to align development outcomes with the goals within the housing element; and</w:t>
      </w:r>
    </w:p>
    <w:p>
      <w:pPr>
        <w:spacing w:before="0" w:after="0" w:line="408" w:lineRule="exact"/>
        <w:ind w:left="0" w:right="0" w:firstLine="576"/>
        <w:jc w:val="left"/>
      </w:pPr>
      <w:r>
        <w:rPr>
          <w:u w:val="single"/>
        </w:rPr>
        <w:t xml:space="preserve">(iv) How to execute the review and revision process over each successive ten-year planning cycle.</w:t>
      </w:r>
    </w:p>
    <w:p>
      <w:pPr>
        <w:spacing w:before="0" w:after="0" w:line="408" w:lineRule="exact"/>
        <w:ind w:left="0" w:right="0" w:firstLine="576"/>
        <w:jc w:val="left"/>
      </w:pPr>
      <w:r>
        <w:rPr>
          <w:u w:val="single"/>
        </w:rPr>
        <w:t xml:space="preserve">(c) Updates to comprehensive plans and development regulations made pursuant to this subsection (6) are subject to appeal to the growth management hearings board under RCW 36.70A.280.</w:t>
      </w:r>
    </w:p>
    <w:p>
      <w:pPr>
        <w:spacing w:before="0" w:after="0" w:line="408" w:lineRule="exact"/>
        <w:ind w:left="0" w:right="0" w:firstLine="576"/>
        <w:jc w:val="left"/>
      </w:pPr>
      <w:r>
        <w:rPr>
          <w:u w:val="single"/>
        </w:rPr>
        <w:t xml:space="preserve">(d) The requirements of this subsection (6) apply only if the legislature has appropriated the funding amounts specified in this subsection (6)(d) by the following dates to the department for the purpose of grants associated with the review and revision process required by this subsection (6):</w:t>
      </w:r>
    </w:p>
    <w:p>
      <w:pPr>
        <w:spacing w:before="0" w:after="0" w:line="408" w:lineRule="exact"/>
        <w:ind w:left="0" w:right="0" w:firstLine="576"/>
        <w:jc w:val="left"/>
      </w:pPr>
      <w:r>
        <w:rPr>
          <w:u w:val="single"/>
        </w:rPr>
        <w:t xml:space="preserve">(i) By June 30, 2027, a minimum of eighty-five thousand dollars per affected jurisdiction, for the review and revision process required by this subsection (6) to occur during the years 2029 through 2031; and</w:t>
      </w:r>
    </w:p>
    <w:p>
      <w:pPr>
        <w:spacing w:before="0" w:after="0" w:line="408" w:lineRule="exact"/>
        <w:ind w:left="0" w:right="0" w:firstLine="576"/>
        <w:jc w:val="left"/>
      </w:pPr>
      <w:r>
        <w:rPr>
          <w:u w:val="single"/>
        </w:rPr>
        <w:t xml:space="preserve">(ii) By June 30, 2037, a minimum of one hundred five thousand dollars per affected jurisdiction, for the review and revision process required by this subsection (6) to occur during the years 2039 through 2041.</w:t>
      </w:r>
    </w:p>
    <w:p>
      <w:pPr>
        <w:spacing w:before="0" w:after="0" w:line="408" w:lineRule="exact"/>
        <w:ind w:left="0" w:right="0" w:firstLine="576"/>
        <w:jc w:val="left"/>
      </w:pPr>
      <w:r>
        <w:rPr>
          <w:u w:val="single"/>
        </w:rPr>
        <w:t xml:space="preserve">(7)(a)</w:t>
      </w:r>
      <w:r>
        <w:rPr/>
        <w:t xml:space="preserve">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w:t>
      </w:r>
      <w:r>
        <w:t>((</w:t>
      </w:r>
      <w:r>
        <w:rPr>
          <w:strike/>
        </w:rPr>
        <w:t xml:space="preserve">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strike/>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strike/>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strike/>
        </w:rPr>
        <w:t xml:space="preserve">(e)</w:t>
      </w:r>
      <w:r>
        <w:t>))</w:t>
      </w:r>
      <w:r>
        <w:rPr/>
        <w:t xml:space="preserve"> A county that is subject to a deadline established in subsection (5)</w:t>
      </w:r>
      <w:r>
        <w:t>((</w:t>
      </w:r>
      <w:r>
        <w:rPr>
          <w:strike/>
        </w:rPr>
        <w:t xml:space="preserve">(b) through (d)</w:t>
      </w:r>
      <w:r>
        <w:t>))</w:t>
      </w:r>
      <w:r>
        <w:rPr/>
        <w:t xml:space="preserve"> </w:t>
      </w:r>
      <w:r>
        <w:rPr>
          <w:u w:val="single"/>
        </w:rPr>
        <w:t xml:space="preserve">(a)(ii) through (iv) or (6)</w:t>
      </w:r>
      <w:r>
        <w:rPr/>
        <w:t xml:space="preserve"> of this section and meets the following criteria may comply with the requirements of this section at any time within the twenty-four months following the deadline established in subsection (5) </w:t>
      </w:r>
      <w:r>
        <w:rPr>
          <w:u w:val="single"/>
        </w:rPr>
        <w:t xml:space="preserve">or (6)</w:t>
      </w:r>
      <w:r>
        <w:rPr/>
        <w:t xml:space="preserve">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A city that is subject to a deadline established in subsection (5)</w:t>
      </w:r>
      <w:r>
        <w:t>((</w:t>
      </w:r>
      <w:r>
        <w:rPr>
          <w:strike/>
        </w:rPr>
        <w:t xml:space="preserve">(b) through (d)</w:t>
      </w:r>
      <w:r>
        <w:t>))</w:t>
      </w:r>
      <w:r>
        <w:rPr/>
        <w:t xml:space="preserve"> </w:t>
      </w:r>
      <w:r>
        <w:rPr>
          <w:u w:val="single"/>
        </w:rPr>
        <w:t xml:space="preserve">(a)(ii) through (iv) or (6)</w:t>
      </w:r>
      <w:r>
        <w:rPr/>
        <w:t xml:space="preserve"> of this section and meets the following criteria may comply with the requirements of this section at any time within the twenty-four months following the deadline established in subsection (5) </w:t>
      </w:r>
      <w:r>
        <w:rPr>
          <w:u w:val="single"/>
        </w:rPr>
        <w:t xml:space="preserve">or (6)</w:t>
      </w:r>
      <w:r>
        <w:rPr/>
        <w:t xml:space="preserve">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 </w:t>
      </w:r>
      <w:r>
        <w:rPr>
          <w:u w:val="single"/>
        </w:rPr>
        <w:t xml:space="preserve">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r>
        <w:t>((</w:t>
      </w:r>
      <w:r>
        <w:rPr>
          <w:strike/>
        </w:rPr>
        <w:t xml:space="preserve">; or</w:t>
      </w:r>
    </w:p>
    <w:p>
      <w:pPr>
        <w:spacing w:before="0" w:after="0" w:line="408" w:lineRule="exact"/>
        <w:ind w:left="0" w:right="0" w:firstLine="576"/>
        <w:jc w:val="left"/>
      </w:pPr>
      <w:r>
        <w:rPr>
          <w:strike/>
        </w:rPr>
        <w:t xml:space="preserve">(iii) Complying with the extension provisions of subsection (6)(b), (c), or (d) of this section</w:t>
      </w:r>
      <w:r>
        <w:t>))</w:t>
      </w:r>
      <w:r>
        <w:rPr/>
        <w:t xml:space="preserve">.</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w:t>
      </w:r>
      <w:r>
        <w:t>((</w:t>
      </w:r>
      <w:r>
        <w:rPr>
          <w:strike/>
        </w:rPr>
        <w:t xml:space="preserve">(8)</w:t>
      </w:r>
      <w:r>
        <w:t>))</w:t>
      </w:r>
      <w:r>
        <w:rPr/>
        <w:t xml:space="preserve"> </w:t>
      </w:r>
      <w:r>
        <w:rPr>
          <w:u w:val="single"/>
        </w:rPr>
        <w:t xml:space="preserve">(9)</w:t>
      </w:r>
      <w:r>
        <w:rPr/>
        <w:t xml:space="preserve">(c)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u w:val="single"/>
        </w:rPr>
        <w:t xml:space="preserve">(10) The office of financial management, upon the enactment of the biennial operating budget in 2027 and 2037, shall inform the department, the office of the governor, the office of the code reviser, and the committees of the legislature with jurisdiction over this chapter, of the amount that has been appropriated to the department for the purpose of providing funding for planning grants in connection with the requirements of RCW 36.70A.130(6).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2011 c 353 s 13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w:t>
      </w:r>
      <w:r>
        <w:t>((</w:t>
      </w:r>
      <w:r>
        <w:rPr>
          <w:strike/>
        </w:rPr>
        <w:t xml:space="preserve">eight</w:t>
      </w:r>
      <w:r>
        <w:t>))</w:t>
      </w:r>
      <w:r>
        <w:rPr/>
        <w:t xml:space="preserve"> </w:t>
      </w:r>
      <w:r>
        <w:rPr>
          <w:u w:val="single"/>
        </w:rPr>
        <w:t xml:space="preserve">ten</w:t>
      </w:r>
      <w:r>
        <w:rPr/>
        <w:t xml:space="preserve">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w:t>
      </w:r>
      <w:r>
        <w:t>((</w:t>
      </w:r>
      <w:r>
        <w:rPr>
          <w:strike/>
        </w:rPr>
        <w:t xml:space="preserve">2019</w:t>
      </w:r>
      <w:r>
        <w:t>))</w:t>
      </w:r>
      <w:r>
        <w:rPr/>
        <w:t xml:space="preserve"> </w:t>
      </w:r>
      <w:r>
        <w:rPr>
          <w:u w:val="single"/>
        </w:rPr>
        <w:t xml:space="preserve">2029</w:t>
      </w:r>
      <w:r>
        <w:rPr/>
        <w:t xml:space="preserve">, and every </w:t>
      </w:r>
      <w:r>
        <w:t>((</w:t>
      </w:r>
      <w:r>
        <w:rPr>
          <w:strike/>
        </w:rPr>
        <w:t xml:space="preserve">eight</w:t>
      </w:r>
      <w:r>
        <w:t>))</w:t>
      </w:r>
      <w:r>
        <w:rPr/>
        <w:t xml:space="preserve"> </w:t>
      </w:r>
      <w:r>
        <w:rPr>
          <w:u w:val="single"/>
        </w:rPr>
        <w:t xml:space="preserve">ten</w:t>
      </w:r>
      <w:r>
        <w:rPr/>
        <w:t xml:space="preserve"> years thereafter, for King, </w:t>
      </w:r>
      <w:r>
        <w:rPr>
          <w:u w:val="single"/>
        </w:rPr>
        <w:t xml:space="preserve">Kitsap,</w:t>
      </w:r>
      <w:r>
        <w:rPr/>
        <w:t xml:space="preserve"> Pierce, and Snohomish counties and the cities within those counties;</w:t>
      </w:r>
    </w:p>
    <w:p>
      <w:pPr>
        <w:spacing w:before="0" w:after="0" w:line="408" w:lineRule="exact"/>
        <w:ind w:left="0" w:right="0" w:firstLine="576"/>
        <w:jc w:val="left"/>
      </w:pPr>
      <w:r>
        <w:rPr/>
        <w:t xml:space="preserve">(ii) On or before June 30, </w:t>
      </w:r>
      <w:r>
        <w:t>((</w:t>
      </w:r>
      <w:r>
        <w:rPr>
          <w:strike/>
        </w:rPr>
        <w:t xml:space="preserve">2020</w:t>
      </w:r>
      <w:r>
        <w:t>))</w:t>
      </w:r>
      <w:r>
        <w:rPr/>
        <w:t xml:space="preserve"> </w:t>
      </w:r>
      <w:r>
        <w:rPr>
          <w:u w:val="single"/>
        </w:rPr>
        <w:t xml:space="preserve">2030</w:t>
      </w:r>
      <w:r>
        <w:rPr/>
        <w:t xml:space="preserve">, and every </w:t>
      </w:r>
      <w:r>
        <w:t>((</w:t>
      </w:r>
      <w:r>
        <w:rPr>
          <w:strike/>
        </w:rPr>
        <w:t xml:space="preserve">eight</w:t>
      </w:r>
      <w:r>
        <w:t>))</w:t>
      </w:r>
      <w:r>
        <w:rPr/>
        <w:t xml:space="preserve"> </w:t>
      </w:r>
      <w:r>
        <w:rPr>
          <w:u w:val="single"/>
        </w:rPr>
        <w:t xml:space="preserve">ten</w:t>
      </w:r>
      <w:r>
        <w:rPr/>
        <w:t xml:space="preserve"> years thereafter, for Clallam, Clark, Island, Jefferson, </w:t>
      </w:r>
      <w:r>
        <w:t>((</w:t>
      </w:r>
      <w:r>
        <w:rPr>
          <w:strike/>
        </w:rPr>
        <w:t xml:space="preserve">Kitsap</w:t>
      </w:r>
      <w:r>
        <w:t>))</w:t>
      </w:r>
      <w:r>
        <w:rPr/>
        <w:t xml:space="preserve"> </w:t>
      </w:r>
      <w:r>
        <w:rPr>
          <w:u w:val="single"/>
        </w:rPr>
        <w:t xml:space="preserve">Lewis</w:t>
      </w:r>
      <w:r>
        <w:rPr/>
        <w:t xml:space="preserve">, Mason, San Juan, Skagit, Thurston, and Whatcom counties and the cities within those counties;</w:t>
      </w:r>
    </w:p>
    <w:p>
      <w:pPr>
        <w:spacing w:before="0" w:after="0" w:line="408" w:lineRule="exact"/>
        <w:ind w:left="0" w:right="0" w:firstLine="576"/>
        <w:jc w:val="left"/>
      </w:pPr>
      <w:r>
        <w:rPr/>
        <w:t xml:space="preserve">(iii) On or before June 30, </w:t>
      </w:r>
      <w:r>
        <w:t>((</w:t>
      </w:r>
      <w:r>
        <w:rPr>
          <w:strike/>
        </w:rPr>
        <w:t xml:space="preserve">2021</w:t>
      </w:r>
      <w:r>
        <w:t>))</w:t>
      </w:r>
      <w:r>
        <w:rPr/>
        <w:t xml:space="preserve"> </w:t>
      </w:r>
      <w:r>
        <w:rPr>
          <w:u w:val="single"/>
        </w:rPr>
        <w:t xml:space="preserve">2031</w:t>
      </w:r>
      <w:r>
        <w:rPr/>
        <w:t xml:space="preserve">, and every </w:t>
      </w:r>
      <w:r>
        <w:t>((</w:t>
      </w:r>
      <w:r>
        <w:rPr>
          <w:strike/>
        </w:rPr>
        <w:t xml:space="preserve">eight</w:t>
      </w:r>
      <w:r>
        <w:t>))</w:t>
      </w:r>
      <w:r>
        <w:rPr/>
        <w:t xml:space="preserve"> </w:t>
      </w:r>
      <w:r>
        <w:rPr>
          <w:u w:val="single"/>
        </w:rPr>
        <w:t xml:space="preserve">ten</w:t>
      </w:r>
      <w:r>
        <w:rPr/>
        <w:t xml:space="preserve"> years thereafter, for Benton, Chelan, Cowlitz, Douglas, </w:t>
      </w:r>
      <w:r>
        <w:t>((</w:t>
      </w:r>
      <w:r>
        <w:rPr>
          <w:strike/>
        </w:rPr>
        <w:t xml:space="preserve">Grant,</w:t>
      </w:r>
      <w:r>
        <w:t>))</w:t>
      </w:r>
      <w:r>
        <w:rPr/>
        <w:t xml:space="preserve"> </w:t>
      </w:r>
      <w:r>
        <w:rPr>
          <w:u w:val="single"/>
        </w:rPr>
        <w:t xml:space="preserve">Franklin,</w:t>
      </w:r>
      <w:r>
        <w:rPr/>
        <w:t xml:space="preserve"> Kittitas, </w:t>
      </w:r>
      <w:r>
        <w:t>((</w:t>
      </w:r>
      <w:r>
        <w:rPr>
          <w:strike/>
        </w:rPr>
        <w:t xml:space="preserve">Lewis,</w:t>
      </w:r>
      <w:r>
        <w:t>))</w:t>
      </w:r>
      <w:r>
        <w:rPr/>
        <w:t xml:space="preserve"> Skamania, Spokane, </w:t>
      </w:r>
      <w:r>
        <w:rPr>
          <w:u w:val="single"/>
        </w:rPr>
        <w:t xml:space="preserve">Walla Walla,</w:t>
      </w:r>
      <w:r>
        <w:rPr/>
        <w:t xml:space="preserve"> and Yakima counties and the cities within those counties; and</w:t>
      </w:r>
    </w:p>
    <w:p>
      <w:pPr>
        <w:spacing w:before="0" w:after="0" w:line="408" w:lineRule="exact"/>
        <w:ind w:left="0" w:right="0" w:firstLine="576"/>
        <w:jc w:val="left"/>
      </w:pPr>
      <w:r>
        <w:rPr/>
        <w:t xml:space="preserve">(iv) On or before June 30, </w:t>
      </w:r>
      <w:r>
        <w:t>((</w:t>
      </w:r>
      <w:r>
        <w:rPr>
          <w:strike/>
        </w:rPr>
        <w:t xml:space="preserve">2022</w:t>
      </w:r>
      <w:r>
        <w:t>))</w:t>
      </w:r>
      <w:r>
        <w:rPr/>
        <w:t xml:space="preserve"> </w:t>
      </w:r>
      <w:r>
        <w:rPr>
          <w:u w:val="single"/>
        </w:rPr>
        <w:t xml:space="preserve">2032</w:t>
      </w:r>
      <w:r>
        <w:rPr/>
        <w:t xml:space="preserve">, and every </w:t>
      </w:r>
      <w:r>
        <w:t>((</w:t>
      </w:r>
      <w:r>
        <w:rPr>
          <w:strike/>
        </w:rPr>
        <w:t xml:space="preserve">eight</w:t>
      </w:r>
      <w:r>
        <w:t>))</w:t>
      </w:r>
      <w:r>
        <w:rPr/>
        <w:t xml:space="preserve"> </w:t>
      </w:r>
      <w:r>
        <w:rPr>
          <w:u w:val="single"/>
        </w:rPr>
        <w:t xml:space="preserve">ten</w:t>
      </w:r>
      <w:r>
        <w:rPr/>
        <w:t xml:space="preserve"> years thereafter, for Adams, Asotin, Columbia, Ferry, </w:t>
      </w:r>
      <w:r>
        <w:t>((</w:t>
      </w:r>
      <w:r>
        <w:rPr>
          <w:strike/>
        </w:rPr>
        <w:t xml:space="preserve">Franklin,</w:t>
      </w:r>
      <w:r>
        <w:t>))</w:t>
      </w:r>
      <w:r>
        <w:rPr/>
        <w:t xml:space="preserve"> Garfield, Grant, Grays Harbor, Klickitat, Lincoln, Okanogan, Pacific, Pend Oreille, Stevens, Wahkiakum, </w:t>
      </w:r>
      <w:r>
        <w:t>((</w:t>
      </w:r>
      <w:r>
        <w:rPr>
          <w:strike/>
        </w:rPr>
        <w:t xml:space="preserve">Walla Walla,</w:t>
      </w:r>
      <w:r>
        <w:t>))</w:t>
      </w:r>
      <w:r>
        <w:rPr/>
        <w:t xml:space="preserve"> and Whitman counties and the cities within those counties.</w:t>
      </w:r>
    </w:p>
    <w:p>
      <w:pPr>
        <w:spacing w:before="0" w:after="0" w:line="408" w:lineRule="exact"/>
        <w:ind w:left="0" w:right="0" w:firstLine="576"/>
        <w:jc w:val="left"/>
      </w:pPr>
      <w:r>
        <w:rPr/>
        <w:t xml:space="preserve">(5) In meeting the </w:t>
      </w:r>
      <w:r>
        <w:t>((</w:t>
      </w:r>
      <w:r>
        <w:rPr>
          <w:strike/>
        </w:rPr>
        <w:t xml:space="preserve">update</w:t>
      </w:r>
      <w:r>
        <w:t>))</w:t>
      </w:r>
      <w:r>
        <w:rPr/>
        <w:t xml:space="preserve"> </w:t>
      </w:r>
      <w:r>
        <w:rPr>
          <w:u w:val="single"/>
        </w:rPr>
        <w:t xml:space="preserve">review</w:t>
      </w:r>
      <w:r>
        <w:rPr/>
        <w:t xml:space="preserve"> requirements of subsection </w:t>
      </w:r>
      <w:r>
        <w:t>((</w:t>
      </w:r>
      <w:r>
        <w:rPr>
          <w:strike/>
        </w:rPr>
        <w:t xml:space="preserve">(2)</w:t>
      </w:r>
      <w:r>
        <w:t>))</w:t>
      </w:r>
      <w:r>
        <w:rPr/>
        <w:t xml:space="preserve"> </w:t>
      </w:r>
      <w:r>
        <w:rPr>
          <w:u w:val="single"/>
        </w:rPr>
        <w:t xml:space="preserve">(4)</w:t>
      </w:r>
      <w:r>
        <w:rPr/>
        <w:t xml:space="preserve">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w:t>
      </w:r>
      <w:r>
        <w:t>((</w:t>
      </w:r>
      <w:r>
        <w:rPr>
          <w:strike/>
        </w:rPr>
        <w:t xml:space="preserve">update</w:t>
      </w:r>
      <w:r>
        <w:t>))</w:t>
      </w:r>
      <w:r>
        <w:rPr/>
        <w:t xml:space="preserve"> </w:t>
      </w:r>
      <w:r>
        <w:rPr>
          <w:u w:val="single"/>
        </w:rPr>
        <w:t xml:space="preserve">review</w:t>
      </w:r>
      <w:r>
        <w:rPr/>
        <w:t xml:space="preserve"> requirements of subsection </w:t>
      </w:r>
      <w:r>
        <w:t>((</w:t>
      </w:r>
      <w:r>
        <w:rPr>
          <w:strike/>
        </w:rPr>
        <w:t xml:space="preserve">(2)</w:t>
      </w:r>
      <w:r>
        <w:t>))</w:t>
      </w:r>
      <w:r>
        <w:rPr/>
        <w:t xml:space="preserve"> </w:t>
      </w:r>
      <w:r>
        <w:rPr>
          <w:u w:val="single"/>
        </w:rPr>
        <w:t xml:space="preserve">(4)</w:t>
      </w:r>
      <w:r>
        <w:rPr/>
        <w:t xml:space="preserve"> of this section, the following shall apply:</w:t>
      </w:r>
    </w:p>
    <w:p>
      <w:pPr>
        <w:spacing w:before="0" w:after="0" w:line="408" w:lineRule="exact"/>
        <w:ind w:left="0" w:right="0" w:firstLine="576"/>
        <w:jc w:val="left"/>
      </w:pPr>
      <w:r>
        <w:rPr/>
        <w:t xml:space="preserve">(a) Grants to local governments for </w:t>
      </w:r>
      <w:r>
        <w:t>((</w:t>
      </w:r>
      <w:r>
        <w:rPr>
          <w:strike/>
        </w:rPr>
        <w:t xml:space="preserve">developing and amending</w:t>
      </w:r>
      <w:r>
        <w:t>))</w:t>
      </w:r>
      <w:r>
        <w:rPr/>
        <w:t xml:space="preserve"> </w:t>
      </w:r>
      <w:r>
        <w:rPr>
          <w:u w:val="single"/>
        </w:rPr>
        <w:t xml:space="preserve">reviewing</w:t>
      </w:r>
      <w:r>
        <w:rPr/>
        <w:t xml:space="preserve"> master programs pursuant to the schedule established by this section shall be provided at least two years before the adoption dates specified in subsection </w:t>
      </w:r>
      <w:r>
        <w:t>((</w:t>
      </w:r>
      <w:r>
        <w:rPr>
          <w:strike/>
        </w:rPr>
        <w:t xml:space="preserve">(2)</w:t>
      </w:r>
      <w:r>
        <w:t>))</w:t>
      </w:r>
      <w:r>
        <w:rPr/>
        <w:t xml:space="preserve"> </w:t>
      </w:r>
      <w:r>
        <w:rPr>
          <w:u w:val="single"/>
        </w:rPr>
        <w:t xml:space="preserve">(4)</w:t>
      </w:r>
      <w:r>
        <w:rPr/>
        <w:t xml:space="preserve">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w:t>
      </w:r>
      <w:r>
        <w:t>((</w:t>
      </w:r>
      <w:r>
        <w:rPr>
          <w:strike/>
        </w:rPr>
        <w:t xml:space="preserve">(2)</w:t>
      </w:r>
      <w:r>
        <w:t>))</w:t>
      </w:r>
      <w:r>
        <w:rPr/>
        <w:t xml:space="preserve"> </w:t>
      </w:r>
      <w:r>
        <w:rPr>
          <w:u w:val="single"/>
        </w:rPr>
        <w:t xml:space="preserve">(4)</w:t>
      </w:r>
      <w:r>
        <w:rPr/>
        <w:t xml:space="preserve"> of this section. Any local government that applies for but does not receive funding to comply with the provisions of subsection </w:t>
      </w:r>
      <w:r>
        <w:t>((</w:t>
      </w:r>
      <w:r>
        <w:rPr>
          <w:strike/>
        </w:rPr>
        <w:t xml:space="preserve">(2)</w:t>
      </w:r>
      <w:r>
        <w:t>))</w:t>
      </w:r>
      <w:r>
        <w:rPr/>
        <w:t xml:space="preserve"> </w:t>
      </w:r>
      <w:r>
        <w:rPr>
          <w:u w:val="single"/>
        </w:rPr>
        <w:t xml:space="preserve">(4)</w:t>
      </w:r>
      <w:r>
        <w:rPr/>
        <w:t xml:space="preserve">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w:t>
      </w:r>
      <w:r>
        <w:t>((</w:t>
      </w:r>
      <w:r>
        <w:rPr>
          <w:strike/>
        </w:rPr>
        <w:t xml:space="preserve">development or amendment</w:t>
      </w:r>
      <w:r>
        <w:t>))</w:t>
      </w:r>
      <w:r>
        <w:rPr/>
        <w:t xml:space="preserve"> </w:t>
      </w:r>
      <w:r>
        <w:rPr>
          <w:u w:val="single"/>
        </w:rPr>
        <w:t xml:space="preserve">periodic review</w:t>
      </w:r>
      <w:r>
        <w:rPr/>
        <w:t xml:space="preserve">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w:t>
      </w:r>
      <w:r>
        <w:t>((</w:t>
      </w:r>
      <w:r>
        <w:rPr>
          <w:strike/>
        </w:rPr>
        <w:t xml:space="preserve">update</w:t>
      </w:r>
      <w:r>
        <w:t>))</w:t>
      </w:r>
      <w:r>
        <w:rPr/>
        <w:t xml:space="preserve"> </w:t>
      </w:r>
      <w:r>
        <w:rPr>
          <w:u w:val="single"/>
        </w:rPr>
        <w:t xml:space="preserve">review</w:t>
      </w:r>
      <w:r>
        <w:rPr/>
        <w:t xml:space="preserve"> requirements of subsection </w:t>
      </w:r>
      <w:r>
        <w:t>((</w:t>
      </w:r>
      <w:r>
        <w:rPr>
          <w:strike/>
        </w:rPr>
        <w:t xml:space="preserve">(2)</w:t>
      </w:r>
      <w:r>
        <w:t>))</w:t>
      </w:r>
      <w:r>
        <w:rPr/>
        <w:t xml:space="preserve"> </w:t>
      </w:r>
      <w:r>
        <w:rPr>
          <w:u w:val="single"/>
        </w:rPr>
        <w:t xml:space="preserve">(4)</w:t>
      </w:r>
      <w:r>
        <w:rPr/>
        <w:t xml:space="preserve">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scope of counties and cities required to perform a five-year partial review and revision of comprehensive plans and development regulations to Benton, Clark, Franklin, King, Kitsap, Pierce, Snohomish, Spokane, Thurston, and Whatcom counties, and the cities within them.</w:t>
      </w:r>
    </w:p>
    <w:p>
      <w:pPr>
        <w:spacing w:before="0" w:after="0" w:line="408" w:lineRule="exact"/>
        <w:ind w:left="0" w:right="0" w:firstLine="576"/>
        <w:jc w:val="left"/>
      </w:pPr>
      <w:r>
        <w:rPr/>
        <w:t xml:space="preserve">(2) Provides that for the counties and cities listed above, the five-year partial review and revision of comprehensive plans and development regulations is required only if the Legislature appropriates a minimum of eighty-five thousand dollars per affected jurisdiction in planning grants in the 2027 operating budget, and one hundred five thousand dollars per affected jurisdiction in planning grants in the 2037 operating budget.</w:t>
      </w:r>
    </w:p>
    <w:p>
      <w:pPr>
        <w:spacing w:before="0" w:after="0" w:line="408" w:lineRule="exact"/>
        <w:ind w:left="0" w:right="0" w:firstLine="576"/>
        <w:jc w:val="left"/>
      </w:pPr>
      <w:r>
        <w:rPr/>
        <w:t xml:space="preserve">(3) Provides that, for the counties and cities listed above, if the Legislature does not appropriate the amounts listed above by the years listed above, these counties and cities will change from a ten-year comprehensive plan update requirement to an eight-year comprehensive plan update requirement.</w:t>
      </w:r>
    </w:p>
    <w:p>
      <w:pPr>
        <w:spacing w:before="0" w:after="0" w:line="408" w:lineRule="exact"/>
        <w:ind w:left="0" w:right="0" w:firstLine="576"/>
        <w:jc w:val="left"/>
      </w:pPr>
      <w:r>
        <w:rPr/>
        <w:t xml:space="preserve">(4) Directs the department of commerce to adopt rules that specify the threshold conditions that will trigger the requirement to review and revise the housing element of the comprehensive plan within the five-year partial review and revision of comprehensive plans and development regulations.</w:t>
      </w:r>
    </w:p>
    <w:p>
      <w:pPr>
        <w:spacing w:before="0" w:after="0" w:line="408" w:lineRule="exact"/>
        <w:ind w:left="0" w:right="0" w:firstLine="576"/>
        <w:jc w:val="left"/>
      </w:pPr>
      <w:r>
        <w:rPr/>
        <w:t xml:space="preserve">(5) Directs the office of financial management, upon the enactment of the biennial operating budget in 2027 and 2037, to inform the department of commerce (commerce), the office of the governor, the office of the code reviser, and the committees of the Legislature with jurisdiction over the growth management act, of the amount that has been appropriated to commerce for the purpose of providing funding for planning grants in connection with the five-year partial review and revision of comprehensive plans and development regulations required in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c376b40cda4f54" /></Relationships>
</file>