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ae4a0e34e2f496c" /></Relationships>
</file>

<file path=word/document.xml><?xml version="1.0" encoding="utf-8"?>
<w:document xmlns:w="http://schemas.openxmlformats.org/wordprocessingml/2006/main">
  <w:body>
    <w:p>
      <w:r>
        <w:rPr>
          <w:b/>
        </w:rPr>
        <w:r>
          <w:rPr/>
          <w:t xml:space="preserve">2586-S</w:t>
        </w:r>
      </w:r>
      <w:r>
        <w:rPr>
          <w:b/>
        </w:rPr>
        <w:t xml:space="preserve"> </w:t>
        <w:t xml:space="preserve">AMH</w:t>
      </w:r>
      <w:r>
        <w:rPr>
          <w:b/>
        </w:rPr>
        <w:t xml:space="preserve"> </w:t>
        <w:r>
          <w:rPr/>
          <w:t xml:space="preserve">DYEM</w:t>
        </w:r>
      </w:r>
      <w:r>
        <w:rPr>
          <w:b/>
        </w:rPr>
        <w:t xml:space="preserve"> </w:t>
        <w:r>
          <w:rPr/>
          <w:t xml:space="preserve">H4993.1</w:t>
        </w:r>
      </w:r>
      <w:r>
        <w:rPr>
          <w:b/>
        </w:rPr>
        <w:t xml:space="preserve"> - NOT FOR FLOOR USE</w:t>
      </w:r>
    </w:p>
    <w:p>
      <w:pPr>
        <w:ind w:left="0" w:right="0" w:firstLine="576"/>
      </w:pPr>
    </w:p>
    <w:p>
      <w:pPr>
        <w:spacing w:before="480" w:after="0" w:line="408" w:lineRule="exact"/>
      </w:pPr>
      <w:r>
        <w:rPr>
          <w:b/>
          <w:u w:val="single"/>
        </w:rPr>
        <w:t xml:space="preserve">SHB 2586</w:t>
      </w:r>
      <w:r>
        <w:t xml:space="preserve"> -</w:t>
      </w:r>
      <w:r>
        <w:t xml:space="preserve"> </w:t>
        <w:t xml:space="preserve">H AMD TO H AMD (H-4987.1/20)</w:t>
      </w:r>
      <w:r>
        <w:t xml:space="preserve"> </w:t>
      </w:r>
      <w:r>
        <w:rPr>
          <w:b/>
        </w:rPr>
        <w:t xml:space="preserve">1444</w:t>
      </w:r>
    </w:p>
    <w:p>
      <w:pPr>
        <w:spacing w:before="0" w:after="0" w:line="408" w:lineRule="exact"/>
        <w:ind w:left="0" w:right="0" w:firstLine="576"/>
        <w:jc w:val="left"/>
      </w:pPr>
      <w:r>
        <w:rPr/>
        <w:t xml:space="preserve">By Representative Dye</w:t>
      </w:r>
    </w:p>
    <w:p>
      <w:pPr>
        <w:jc w:val="right"/>
      </w:pPr>
    </w:p>
    <w:p>
      <w:pPr>
        <w:spacing w:before="0" w:after="0" w:line="408" w:lineRule="exact"/>
        <w:ind w:left="0" w:right="0" w:firstLine="576"/>
        <w:jc w:val="left"/>
      </w:pPr>
      <w:r>
        <w:rPr/>
        <w:t xml:space="preserve">On page 3, line 20, after "of" strike all material through "utility" and insert "the utility's customers"</w:t>
      </w:r>
    </w:p>
    <w:p>
      <w:pPr>
        <w:spacing w:before="0" w:after="0" w:line="408" w:lineRule="exact"/>
        <w:ind w:left="0" w:right="0" w:firstLine="576"/>
        <w:jc w:val="left"/>
      </w:pPr>
      <w:r>
        <w:rPr/>
        <w:t xml:space="preserve">On page 5, line 14, after "utility" strike "district" and insert "district's customers"</w:t>
      </w:r>
    </w:p>
    <w:p>
      <w:pPr>
        <w:spacing w:before="0" w:after="0" w:line="408" w:lineRule="exact"/>
        <w:ind w:left="0" w:right="0" w:firstLine="576"/>
        <w:jc w:val="left"/>
      </w:pPr>
      <w:r>
        <w:rPr>
          <w:u w:val="single"/>
        </w:rPr>
        <w:t xml:space="preserve">EFFECT:</w:t>
      </w:r>
      <w:r>
        <w:rPr/>
        <w:t xml:space="preserve"> States that the authorization to engage in beneficial electrification does not limit the existing authority of the governing body of a municipal electric utility or public utility district to offer incentives and other programs to accelerate the electrification of homes and buildings for its customers if such electrification is in the direct economic interest of the utility's customers, rather than in the direct economic interests of the utility.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ab6f0b829e4e83" /></Relationships>
</file>