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53143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C184D">
            <w:t>2586-S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C184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C184D">
            <w:t>RAME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C184D">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C184D">
            <w:t>192</w:t>
          </w:r>
        </w:sdtContent>
      </w:sdt>
    </w:p>
    <w:p w:rsidR="00DF5D0E" w:rsidP="00B73E0A" w:rsidRDefault="00AA1230">
      <w:pPr>
        <w:pStyle w:val="OfferedBy"/>
        <w:spacing w:after="120"/>
      </w:pPr>
      <w:r>
        <w:tab/>
      </w:r>
      <w:r>
        <w:tab/>
      </w:r>
      <w:r>
        <w:tab/>
      </w:r>
    </w:p>
    <w:p w:rsidR="00DF5D0E" w:rsidRDefault="0053143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C184D">
            <w:rPr>
              <w:b/>
              <w:u w:val="single"/>
            </w:rPr>
            <w:t>SHB 2586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C184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1615</w:t>
          </w:r>
        </w:sdtContent>
      </w:sdt>
    </w:p>
    <w:p w:rsidR="00DF5D0E" w:rsidP="00605C39" w:rsidRDefault="0053143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C184D">
            <w:rPr>
              <w:sz w:val="22"/>
            </w:rPr>
            <w:t>By Representative Ramel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C184D">
          <w:pPr>
            <w:spacing w:after="400" w:line="408" w:lineRule="exact"/>
            <w:jc w:val="right"/>
            <w:rPr>
              <w:b/>
              <w:bCs/>
            </w:rPr>
          </w:pPr>
          <w:r>
            <w:rPr>
              <w:b/>
              <w:bCs/>
            </w:rPr>
            <w:t xml:space="preserve"> </w:t>
          </w:r>
        </w:p>
      </w:sdtContent>
    </w:sdt>
    <w:p w:rsidR="002C184D" w:rsidP="00C8108C" w:rsidRDefault="00DE256E">
      <w:pPr>
        <w:pStyle w:val="Page"/>
      </w:pPr>
      <w:bookmarkStart w:name="StartOfAmendmentBody" w:id="1"/>
      <w:bookmarkEnd w:id="1"/>
      <w:permStart w:edGrp="everyone" w:id="1490042902"/>
      <w:r>
        <w:tab/>
      </w:r>
      <w:r w:rsidR="00E77886">
        <w:t>Strike everything after the enacting clause and insert the following:</w:t>
      </w:r>
    </w:p>
    <w:p w:rsidR="00E77886" w:rsidP="00E77886" w:rsidRDefault="00E77886">
      <w:pPr>
        <w:pStyle w:val="RCWSLText"/>
      </w:pPr>
      <w:r>
        <w:tab/>
        <w:t>"</w:t>
      </w: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The legislature finds that:</w:t>
      </w:r>
    </w:p>
    <w:p w:rsidR="00E77886" w:rsidP="00E77886" w:rsidRDefault="00E77886">
      <w:pPr>
        <w:pStyle w:val="RCWSLText"/>
      </w:pPr>
      <w:r>
        <w:tab/>
        <w:t>(1) Programs for the electrification of homes and buildings have the potential to allow electric utilities to optimize the use of electric grid infrastructure, improve the management of electric loads, better manage the integration of variable renewable energy resources, reduce greenhouse gas emissions from the buildings sector, and improve indoor air quality.</w:t>
      </w:r>
    </w:p>
    <w:p w:rsidR="00E77886" w:rsidP="00E77886" w:rsidRDefault="00E77886">
      <w:pPr>
        <w:pStyle w:val="RCWSLText"/>
      </w:pPr>
      <w:r>
        <w:tab/>
      </w:r>
      <w:r w:rsidRPr="00E77886">
        <w:t>(2) Legislative clarity is important for utilities to offer programs and services, including incentives, in the electrification of homes and buildings for their customers. It is the intent of the legislature to allow certain utilities with appropriate and unique circumstance to determine its appropriate role in advancing home and building electrification for its customers.</w:t>
      </w:r>
      <w:r>
        <w:t xml:space="preserve"> </w:t>
      </w:r>
    </w:p>
    <w:p w:rsidR="00E77886" w:rsidP="00E77886" w:rsidRDefault="00E77886">
      <w:pPr>
        <w:pStyle w:val="BegSec-New"/>
      </w:pPr>
      <w:r>
        <w:rPr>
          <w:u w:val="single"/>
        </w:rPr>
        <w:t>NEW SECTION.</w:t>
      </w:r>
      <w:r>
        <w:rPr>
          <w:b/>
        </w:rPr>
        <w:t xml:space="preserve"> Sec. </w:t>
      </w:r>
      <w:r>
        <w:rPr>
          <w:b/>
        </w:rPr>
        <w:fldChar w:fldCharType="begin"/>
      </w:r>
      <w:r>
        <w:rPr>
          <w:b/>
        </w:rPr>
        <w:instrText xml:space="preserve"> LISTNUM  LegalDefault  </w:instrText>
      </w:r>
      <w:r>
        <w:rPr>
          <w:b/>
        </w:rPr>
        <w:fldChar w:fldCharType="end"/>
      </w:r>
      <w:r>
        <w:t xml:space="preserve">  A new section is added to chapter 35.92 RCW to read as follows:</w:t>
      </w:r>
    </w:p>
    <w:p w:rsidR="00E77886" w:rsidP="00E77886" w:rsidRDefault="00E77886">
      <w:pPr>
        <w:spacing w:line="408" w:lineRule="exact"/>
        <w:ind w:firstLine="576"/>
      </w:pPr>
      <w:r>
        <w:tab/>
        <w:t xml:space="preserve">(1) The governing authority of an electric utility formed under this chapter that is located in a county with a population of two million or </w:t>
      </w:r>
      <w:r w:rsidR="0004562C">
        <w:t>more</w:t>
      </w:r>
      <w:r>
        <w:t xml:space="preserve"> may adopt a beneficial electrification plan that establishes a finding that utility outreach and investment in the electrification of homes and buildings will provide net benefits to the utility. Prior to adopting a beneficial electrification plan, the governing authority must request the input of any natural gas company serving customers in the electric utility's service area on the development of the plan.</w:t>
      </w:r>
    </w:p>
    <w:p w:rsidR="00E77886" w:rsidP="00E77886" w:rsidRDefault="00E77886">
      <w:pPr>
        <w:spacing w:line="408" w:lineRule="exact"/>
        <w:ind w:firstLine="576"/>
      </w:pPr>
      <w:r>
        <w:lastRenderedPageBreak/>
        <w:t>(2) A beneficial electrification plan adopted under subsection (1) of this section must identify options and program schedules for the electrification of various energy end-uses or other energy sources.</w:t>
      </w:r>
    </w:p>
    <w:p w:rsidR="00E77886" w:rsidP="00E77886" w:rsidRDefault="00E77886">
      <w:pPr>
        <w:spacing w:line="408" w:lineRule="exact"/>
        <w:ind w:firstLine="576"/>
      </w:pPr>
      <w:r>
        <w:t>(3) In adopting a beneficial electrification plan under subsection (1) of this section, the governing authority must determine that the sum of the benefits of an electrification option equals or exceeds the sum of its costs. As part of this determination, the governing authority may differentiate the level of benefits and costs accrued to highly impacted communities and vulnerable populations in the electric utility's service area, as those terms are defined in RCW 19.405.020.</w:t>
      </w:r>
    </w:p>
    <w:p w:rsidR="00E77886" w:rsidP="00E77886" w:rsidRDefault="00E77886">
      <w:pPr>
        <w:spacing w:line="408" w:lineRule="exact"/>
        <w:ind w:firstLine="576"/>
      </w:pPr>
      <w:r>
        <w:t>(a) The benefits of beneficial electrification considered by a governing authority must include but are not limited to system impacts, as well as the following:</w:t>
      </w:r>
    </w:p>
    <w:p w:rsidR="00E77886" w:rsidP="00E77886" w:rsidRDefault="00E77886">
      <w:pPr>
        <w:spacing w:line="408" w:lineRule="exact"/>
        <w:ind w:firstLine="576"/>
      </w:pPr>
      <w:r>
        <w:t>(i) Utility revenue from increased retail load from beneficial electrification;</w:t>
      </w:r>
    </w:p>
    <w:p w:rsidR="00E77886" w:rsidP="00E77886" w:rsidRDefault="00E77886">
      <w:pPr>
        <w:spacing w:line="408" w:lineRule="exact"/>
        <w:ind w:firstLine="576"/>
      </w:pPr>
      <w:r>
        <w:t>(ii) Distribution system efficiencies resulting from demand response or other load management opportunities, including direct control and dynamic pricing, associated with the increased retail load;</w:t>
      </w:r>
    </w:p>
    <w:p w:rsidR="00E77886" w:rsidP="00E77886" w:rsidRDefault="00E77886">
      <w:pPr>
        <w:spacing w:line="408" w:lineRule="exact"/>
        <w:ind w:firstLine="576"/>
      </w:pPr>
      <w:r>
        <w:t>(iii) System reliability improvements;</w:t>
      </w:r>
    </w:p>
    <w:p w:rsidR="00E77886" w:rsidP="00E77886" w:rsidRDefault="00E77886">
      <w:pPr>
        <w:spacing w:line="408" w:lineRule="exact"/>
        <w:ind w:firstLine="576"/>
      </w:pPr>
      <w:r>
        <w:t>(iv) The opportunity for indoor and outdoor air quality benefits to existing utility customers and customers from projects constructed after the effective date of this section;</w:t>
      </w:r>
    </w:p>
    <w:p w:rsidR="00E77886" w:rsidP="00E77886" w:rsidRDefault="00E77886">
      <w:pPr>
        <w:spacing w:line="408" w:lineRule="exact"/>
        <w:ind w:firstLine="576"/>
      </w:pPr>
      <w:r>
        <w:t>(v) The opportunity for greenhouse gas emissions reductions from existing utility customers and customers from projects constructed after the effective date of this section, consistent with the emission reduction targets recommended by the department of ecology under RCW 70.235.020; and</w:t>
      </w:r>
    </w:p>
    <w:p w:rsidR="00E77886" w:rsidP="00E77886" w:rsidRDefault="00E77886">
      <w:pPr>
        <w:spacing w:line="408" w:lineRule="exact"/>
        <w:ind w:firstLine="576"/>
      </w:pPr>
      <w:r>
        <w:t>(vi) Other benefits identified by the governing authority.</w:t>
      </w:r>
    </w:p>
    <w:p w:rsidR="00E77886" w:rsidP="00E77886" w:rsidRDefault="00E77886">
      <w:pPr>
        <w:spacing w:line="408" w:lineRule="exact"/>
        <w:ind w:firstLine="576"/>
      </w:pPr>
      <w:r>
        <w:t>(b) The costs of beneficial electrification considered by a governing authority must include, but are not limited to:</w:t>
      </w:r>
    </w:p>
    <w:p w:rsidR="00E77886" w:rsidP="00E77886" w:rsidRDefault="00E77886">
      <w:pPr>
        <w:spacing w:line="408" w:lineRule="exact"/>
        <w:ind w:firstLine="576"/>
      </w:pPr>
      <w:r>
        <w:t>(i) The electricity, which must be demonstrated to have a lower greenhouse gas emissions profile than direct-use natural gas, or any other resources used to serve or offset the increased retail load from beneficial electrification;</w:t>
      </w:r>
    </w:p>
    <w:p w:rsidR="00E77886" w:rsidP="00E77886" w:rsidRDefault="00E77886">
      <w:pPr>
        <w:spacing w:line="408" w:lineRule="exact"/>
        <w:ind w:firstLine="576"/>
      </w:pPr>
      <w:r>
        <w:t>(ii) Any upgrades to the utility's distribution system or load management practices and equipment made necessary by the increased retail load; and</w:t>
      </w:r>
    </w:p>
    <w:p w:rsidR="00E77886" w:rsidP="00E77886" w:rsidRDefault="00E77886">
      <w:pPr>
        <w:spacing w:line="408" w:lineRule="exact"/>
        <w:ind w:firstLine="576"/>
      </w:pPr>
      <w:r>
        <w:t>(iii) The cost of the incentive, advertising, or other inducements used to encourage customers to electrify an energy end-use currently served by a different fuel source.</w:t>
      </w:r>
    </w:p>
    <w:p w:rsidR="00E77886" w:rsidP="00E77886" w:rsidRDefault="00E77886">
      <w:pPr>
        <w:spacing w:line="408" w:lineRule="exact"/>
        <w:ind w:firstLine="576"/>
      </w:pPr>
      <w:r>
        <w:t xml:space="preserve">(4) The electric utility may, upon making a determination in accordance with subsection (1) of this section, offer incentives and other programs to accelerate the beneficial electrification of homes and buildings for its customers, including the promotion of electrically powered equipment, advertising beneficial electrification programs and projects, educational programs, and customer incentives or rebates. </w:t>
      </w:r>
      <w:r w:rsidR="0004562C">
        <w:t xml:space="preserve">In </w:t>
      </w:r>
      <w:r>
        <w:t>offering such incentives and other programs</w:t>
      </w:r>
      <w:r w:rsidR="0004562C">
        <w:t>, the electric utility</w:t>
      </w:r>
      <w:r>
        <w:t xml:space="preserve"> must, when practical, prioritize service to highly impacted communities in the electric utility's service area, as that term is defined in RCW 19.405.020.</w:t>
      </w:r>
    </w:p>
    <w:p w:rsidR="00E77886" w:rsidP="00E77886" w:rsidRDefault="00E77886">
      <w:pPr>
        <w:spacing w:line="408" w:lineRule="exact"/>
        <w:ind w:firstLine="576"/>
      </w:pPr>
      <w:r>
        <w:t>(5) For the purposes of this section, "beneficial electrification" means electrification of an energy end-use in a way that provides a net benefit to the utility consistent with subsection (3) of this section.</w:t>
      </w:r>
    </w:p>
    <w:p w:rsidR="00E77886" w:rsidP="00E77886" w:rsidRDefault="0004562C">
      <w:pPr>
        <w:pStyle w:val="RCWSLText"/>
      </w:pPr>
      <w:r>
        <w:tab/>
      </w:r>
      <w:r w:rsidR="00E77886">
        <w:t>(6) Nothing in this section limits the existing authority of an electric utility formed under this chapter to offer incentives and other programs to accelerate the electrification of homes and buildings for its customers if such electrification is in the direct economic interest of the electric utility.</w:t>
      </w:r>
    </w:p>
    <w:p w:rsidR="00E77886" w:rsidP="00E77886" w:rsidRDefault="00E77886">
      <w:pPr>
        <w:pStyle w:val="RCWSLText"/>
      </w:pPr>
    </w:p>
    <w:p w:rsidR="00E77886" w:rsidP="00E77886" w:rsidRDefault="00E77886">
      <w:pPr>
        <w:pStyle w:val="RCWSLText"/>
      </w:pPr>
      <w:r>
        <w:tab/>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If any provision of this act or its application to any person or circumstance is held invalid, the remainder of the act or the application of the provision to other persons or circumstances is not affected."</w:t>
      </w:r>
    </w:p>
    <w:p w:rsidRPr="002C184D" w:rsidR="00DF5D0E" w:rsidP="00A33D6A" w:rsidRDefault="00A33D6A">
      <w:pPr>
        <w:pStyle w:val="RCWSLText"/>
      </w:pPr>
      <w:r>
        <w:tab/>
      </w:r>
      <w:r w:rsidR="00E77886">
        <w:t>Correct the title.</w:t>
      </w:r>
    </w:p>
    <w:permEnd w:id="1490042902"/>
    <w:p w:rsidR="00ED2EEB" w:rsidP="002C184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9760305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2C184D"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A33D6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33D6A">
                  <w:t xml:space="preserve">Limits the authority to adopt a beneficial electrification plan and offer incentives to a municipal electric utility </w:t>
                </w:r>
                <w:r w:rsidRPr="00A33D6A" w:rsidR="00A33D6A">
                  <w:t>that is located in a county with a population of two million or more</w:t>
                </w:r>
                <w:r w:rsidR="00A33D6A">
                  <w:t>.</w:t>
                </w:r>
              </w:p>
            </w:tc>
          </w:tr>
        </w:sdtContent>
      </w:sdt>
      <w:permEnd w:id="1697603052"/>
    </w:tbl>
    <w:p w:rsidR="00DF5D0E" w:rsidP="002C184D" w:rsidRDefault="00DF5D0E">
      <w:pPr>
        <w:pStyle w:val="BillEnd"/>
        <w:suppressLineNumbers/>
      </w:pPr>
    </w:p>
    <w:p w:rsidR="00DF5D0E" w:rsidP="002C184D" w:rsidRDefault="00DE256E">
      <w:pPr>
        <w:pStyle w:val="BillEnd"/>
        <w:suppressLineNumbers/>
      </w:pPr>
      <w:r>
        <w:rPr>
          <w:b/>
        </w:rPr>
        <w:t>--- END ---</w:t>
      </w:r>
    </w:p>
    <w:p w:rsidR="00DF5D0E" w:rsidP="002C184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84D" w:rsidRDefault="002C184D" w:rsidP="00DF5D0E">
      <w:r>
        <w:separator/>
      </w:r>
    </w:p>
  </w:endnote>
  <w:endnote w:type="continuationSeparator" w:id="0">
    <w:p w:rsidR="002C184D" w:rsidRDefault="002C184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78A" w:rsidRDefault="00393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53143B">
    <w:pPr>
      <w:pStyle w:val="AmendDraftFooter"/>
    </w:pPr>
    <w:r>
      <w:fldChar w:fldCharType="begin"/>
    </w:r>
    <w:r>
      <w:instrText xml:space="preserve"> TITLE   \* MERGEFORMAT </w:instrText>
    </w:r>
    <w:r>
      <w:fldChar w:fldCharType="separate"/>
    </w:r>
    <w:r w:rsidR="0039378A">
      <w:t>2586-S AMH RAME HUGH 192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53143B">
    <w:pPr>
      <w:pStyle w:val="AmendDraftFooter"/>
    </w:pPr>
    <w:r>
      <w:fldChar w:fldCharType="begin"/>
    </w:r>
    <w:r>
      <w:instrText xml:space="preserve"> TITLE   \* MERGEFORMAT </w:instrText>
    </w:r>
    <w:r>
      <w:fldChar w:fldCharType="separate"/>
    </w:r>
    <w:r w:rsidR="0039378A">
      <w:t>2586-S AMH RAME HUGH 192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84D" w:rsidRDefault="002C184D" w:rsidP="00DF5D0E">
      <w:r>
        <w:separator/>
      </w:r>
    </w:p>
  </w:footnote>
  <w:footnote w:type="continuationSeparator" w:id="0">
    <w:p w:rsidR="002C184D" w:rsidRDefault="002C184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78A" w:rsidRDefault="00393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4562C"/>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C184D"/>
    <w:rsid w:val="00316CD9"/>
    <w:rsid w:val="0039378A"/>
    <w:rsid w:val="003E2FC6"/>
    <w:rsid w:val="00492DDC"/>
    <w:rsid w:val="004C6615"/>
    <w:rsid w:val="00523C5A"/>
    <w:rsid w:val="0053143B"/>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33D6A"/>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77886"/>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44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22326"/>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2586-S</BillDocName>
  <AmendType>AMH</AmendType>
  <SponsorAcronym>RAME</SponsorAcronym>
  <DrafterAcronym>HUGH</DrafterAcronym>
  <DraftNumber>192</DraftNumber>
  <ReferenceNumber>SHB 2586</ReferenceNumber>
  <Floor>H AMD</Floor>
  <AmendmentNumber> 1615</AmendmentNumber>
  <Sponsors>By Representative Ramel</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2</Pages>
  <Words>851</Words>
  <Characters>4821</Characters>
  <Application>Microsoft Office Word</Application>
  <DocSecurity>8</DocSecurity>
  <Lines>112</Lines>
  <Paragraphs>35</Paragraphs>
  <ScaleCrop>false</ScaleCrop>
  <HeadingPairs>
    <vt:vector size="2" baseType="variant">
      <vt:variant>
        <vt:lpstr>Title</vt:lpstr>
      </vt:variant>
      <vt:variant>
        <vt:i4>1</vt:i4>
      </vt:variant>
    </vt:vector>
  </HeadingPairs>
  <TitlesOfParts>
    <vt:vector size="1" baseType="lpstr">
      <vt:lpstr>2586-S AMH RAME HUGH 192</vt:lpstr>
    </vt:vector>
  </TitlesOfParts>
  <Company>Washington State Legislature</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2586-S AMH RAME HUGH 192</dc:title>
  <dc:creator>Nikkole Hughes</dc:creator>
  <cp:lastModifiedBy>Hughes, Nikkole</cp:lastModifiedBy>
  <cp:revision>5</cp:revision>
  <dcterms:created xsi:type="dcterms:W3CDTF">2020-02-18T01:44:00Z</dcterms:created>
  <dcterms:modified xsi:type="dcterms:W3CDTF">2020-02-18T01:57:00Z</dcterms:modified>
</cp:coreProperties>
</file>