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03706481a740c9" /></Relationships>
</file>

<file path=word/document.xml><?xml version="1.0" encoding="utf-8"?>
<w:document xmlns:w="http://schemas.openxmlformats.org/wordprocessingml/2006/main">
  <w:body>
    <w:p>
      <w:r>
        <w:rPr>
          <w:b/>
        </w:rPr>
        <w:r>
          <w:rPr/>
          <w:t xml:space="preserve">2594</w:t>
        </w:r>
      </w:r>
      <w:r>
        <w:rPr>
          <w:b/>
        </w:rPr>
        <w:t xml:space="preserve"> </w:t>
        <w:t xml:space="preserve">AMH</w:t>
      </w:r>
      <w:r>
        <w:rPr>
          <w:b/>
        </w:rPr>
        <w:t xml:space="preserve"> </w:t>
        <w:r>
          <w:rPr/>
          <w:t xml:space="preserve">BOEH</w:t>
        </w:r>
      </w:r>
      <w:r>
        <w:rPr>
          <w:b/>
        </w:rPr>
        <w:t xml:space="preserve"> </w:t>
        <w:r>
          <w:rPr/>
          <w:t xml:space="preserve">H4815.1</w:t>
        </w:r>
      </w:r>
      <w:r>
        <w:rPr>
          <w:b/>
        </w:rPr>
        <w:t xml:space="preserve"> - NOT FOR FLOOR USE</w:t>
      </w:r>
    </w:p>
    <w:p>
      <w:pPr>
        <w:ind w:left="0" w:right="0" w:firstLine="576"/>
      </w:pPr>
    </w:p>
    <w:p>
      <w:pPr>
        <w:spacing w:before="480" w:after="0" w:line="408" w:lineRule="exact"/>
      </w:pPr>
      <w:r>
        <w:rPr>
          <w:b/>
          <w:u w:val="single"/>
        </w:rPr>
        <w:t xml:space="preserve">HB 2594</w:t>
      </w:r>
      <w:r>
        <w:t xml:space="preserve"> -</w:t>
      </w:r>
      <w:r>
        <w:t xml:space="preserve"> </w:t>
        <w:t xml:space="preserve">H AMD</w:t>
      </w:r>
      <w:r>
        <w:t xml:space="preserve"> </w:t>
      </w:r>
      <w:r>
        <w:rPr>
          <w:b/>
        </w:rPr>
        <w:t xml:space="preserve">1388</w:t>
      </w:r>
    </w:p>
    <w:p>
      <w:pPr>
        <w:spacing w:before="0" w:after="0" w:line="408" w:lineRule="exact"/>
        <w:ind w:left="0" w:right="0" w:firstLine="576"/>
        <w:jc w:val="left"/>
      </w:pPr>
      <w:r>
        <w:rPr/>
        <w:t xml:space="preserve">By Representative Boehnke</w:t>
      </w:r>
    </w:p>
    <w:p>
      <w:pPr>
        <w:jc w:val="right"/>
      </w:pPr>
    </w:p>
    <w:p>
      <w:pPr>
        <w:spacing w:before="0" w:after="0" w:line="408" w:lineRule="exact"/>
        <w:ind w:left="0" w:right="0" w:firstLine="576"/>
        <w:jc w:val="left"/>
      </w:pPr>
      <w:r>
        <w:rPr/>
        <w:t xml:space="preserve">Beginning on page 2, at the beginning of line 13, strike all material through "language." on page 4, line 33, and insert the following:</w:t>
      </w:r>
    </w:p>
    <w:p>
      <w:pPr>
        <w:spacing w:before="0" w:after="0" w:line="408" w:lineRule="exact"/>
        <w:ind w:left="0" w:right="0" w:firstLine="576"/>
        <w:jc w:val="left"/>
      </w:pPr>
      <w:r>
        <w:rPr/>
        <w:t xml:space="preserve">"At the time of an electric utility's filing a tariff or rate schedule change with the commission, in the case of an investor-owned utility, or the governing body, in the case of a consumer-owned utility, and in accordance with rate setting procedures, the utility must notify the retail electric customers to whom the change applies of the proposed tariff or rate schedule change. The notice must include a brief, plain language statement describing any regulatory or public policy decisions, including federal, state, and local laws, that have imposed obligations that increase costs for the utility, and the portion of the rate change attributable to each identified regulatory or public policy decision, including separately identifying any portion of those costs reasonably attributable to chapter 19.405 RCW, the Washington clean energy transformation act, or rules adopted by state agencies to implement that chapter, to the extent that such information can be determined within the utility's existing resources. Each electric utility must maintain on its public internet web site the rate change notices required under this section for the most recent five years, as applicable."</w:t>
      </w:r>
    </w:p>
    <w:p>
      <w:pPr>
        <w:spacing w:before="0" w:after="0" w:line="408" w:lineRule="exact"/>
        <w:ind w:left="0" w:right="0" w:firstLine="576"/>
        <w:jc w:val="left"/>
      </w:pPr>
      <w:r>
        <w:rPr>
          <w:u w:val="single"/>
        </w:rPr>
        <w:t xml:space="preserve">EFFECT:</w:t>
      </w:r>
      <w:r>
        <w:rPr/>
        <w:t xml:space="preserve"> Removes the specific rate change disclosure requirements for all electric utilities. Requires an electric utility to generally notify the retail electric customers to whom a change applies of a tariff or rate schedule change. Requires the notice to include a brief, plain language statement describing any regulatory or public policy decisions that have imposed obligations that increase costs for the utility, to the extent that such information can be determined within the utility's existing resources. Requires each electric utility to maintain on its public internet web site the rate change notices for the most recent five years, as applicable.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21fae03c554949" /></Relationships>
</file>