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3b00db1394b85" /></Relationships>
</file>

<file path=word/document.xml><?xml version="1.0" encoding="utf-8"?>
<w:document xmlns:w="http://schemas.openxmlformats.org/wordprocessingml/2006/main">
  <w:body>
    <w:p>
      <w:r>
        <w:rPr>
          <w:b/>
        </w:rPr>
        <w:r>
          <w:rPr/>
          <w:t xml:space="preserve">2679-S</w:t>
        </w:r>
      </w:r>
      <w:r>
        <w:rPr>
          <w:b/>
        </w:rPr>
        <w:t xml:space="preserve"> </w:t>
        <w:t xml:space="preserve">AMH</w:t>
      </w:r>
      <w:r>
        <w:rPr>
          <w:b/>
        </w:rPr>
        <w:t xml:space="preserve"> </w:t>
        <w:r>
          <w:rPr/>
          <w:t xml:space="preserve">CALD</w:t>
        </w:r>
      </w:r>
      <w:r>
        <w:rPr>
          <w:b/>
        </w:rPr>
        <w:t xml:space="preserve"> </w:t>
        <w:r>
          <w:rPr/>
          <w:t xml:space="preserve">H4867.2</w:t>
        </w:r>
      </w:r>
      <w:r>
        <w:rPr>
          <w:b/>
        </w:rPr>
        <w:t xml:space="preserve"> - NOT FOR FLOOR USE</w:t>
      </w:r>
    </w:p>
    <w:p>
      <w:pPr>
        <w:ind w:left="0" w:right="0" w:firstLine="576"/>
      </w:pPr>
    </w:p>
    <w:p>
      <w:pPr>
        <w:spacing w:before="480" w:after="0" w:line="408" w:lineRule="exact"/>
      </w:pPr>
      <w:r>
        <w:rPr>
          <w:b/>
          <w:u w:val="single"/>
        </w:rPr>
        <w:t xml:space="preserve">SHB 2679</w:t>
      </w:r>
      <w:r>
        <w:t xml:space="preserve"> -</w:t>
      </w:r>
      <w:r>
        <w:t xml:space="preserve"> </w:t>
        <w:t xml:space="preserve">H AMD</w:t>
      </w:r>
      <w:r>
        <w:t xml:space="preserve"> </w:t>
      </w:r>
      <w:r>
        <w:rPr>
          <w:b/>
        </w:rPr>
        <w:t xml:space="preserve">1462</w:t>
      </w:r>
    </w:p>
    <w:p>
      <w:pPr>
        <w:spacing w:before="0" w:after="0" w:line="408" w:lineRule="exact"/>
        <w:ind w:left="0" w:right="0" w:firstLine="576"/>
        <w:jc w:val="left"/>
      </w:pPr>
      <w:r>
        <w:rPr/>
        <w:t xml:space="preserve">By Representative Caldier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48</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addition to any other taxes imposed under this chapter, each covered entity must pay an additional tax. The measure of the tax is one percent of all paid claims by a covered entity during the preceding calendar year. The tax is due annually each March 1st and must be reported and paid in the manner prescribed by the commissioner's office. The first payment is due March 1, 2021, for paid claims during calendar year 2020.</w:t>
      </w:r>
    </w:p>
    <w:p>
      <w:pPr>
        <w:spacing w:before="0" w:after="0" w:line="408" w:lineRule="exact"/>
        <w:ind w:left="0" w:right="0" w:firstLine="576"/>
        <w:jc w:val="left"/>
      </w:pPr>
      <w:r>
        <w:rPr/>
        <w:t xml:space="preserve">(2) The proceeds of the tax must be deposited into the health carrier community benefit fund created in section 2 of this act.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"Claims-related expenses" means:</w:t>
      </w:r>
    </w:p>
    <w:p>
      <w:pPr>
        <w:spacing w:before="0" w:after="0" w:line="408" w:lineRule="exact"/>
        <w:ind w:left="0" w:right="0" w:firstLine="576"/>
        <w:jc w:val="left"/>
      </w:pPr>
      <w:r>
        <w:rPr/>
        <w:t xml:space="preserve">(i) Cost containment expenses including payments for utilization review, care or case management, disease management, medication review management, risk assessment, and similar administrative services intended to reduce the claims paid for health and medical services rendered to covered individuals by attempting to ensure the needed services are delivered in the most efficacious manner possible or by helping those covered individuals maintain or improve their health;</w:t>
      </w:r>
    </w:p>
    <w:p>
      <w:pPr>
        <w:spacing w:before="0" w:after="0" w:line="408" w:lineRule="exact"/>
        <w:ind w:left="0" w:right="0" w:firstLine="576"/>
        <w:jc w:val="left"/>
      </w:pPr>
      <w:r>
        <w:rPr/>
        <w:t xml:space="preserve">(ii) Payments that are made to or by an organized group of health or medical service providers in accordance with managed care risk arrangements or network access agreements if the payments are unrelated to the provision of services to specific covered individuals; and</w:t>
      </w:r>
    </w:p>
    <w:p>
      <w:pPr>
        <w:spacing w:before="0" w:after="0" w:line="408" w:lineRule="exact"/>
        <w:ind w:left="0" w:right="0" w:firstLine="576"/>
        <w:jc w:val="left"/>
      </w:pPr>
      <w:r>
        <w:rPr/>
        <w:t xml:space="preserve">(iii) General administrative expenses.</w:t>
      </w:r>
    </w:p>
    <w:p>
      <w:pPr>
        <w:spacing w:before="0" w:after="0" w:line="408" w:lineRule="exact"/>
        <w:ind w:left="0" w:right="0" w:firstLine="576"/>
        <w:jc w:val="left"/>
      </w:pPr>
      <w:r>
        <w:rPr/>
        <w:t xml:space="preserve">(b) "Covered entity" means health carriers as defined in RCW 48.43.005, third-party administrators, and employers offering self-funded coverage.</w:t>
      </w:r>
    </w:p>
    <w:p>
      <w:pPr>
        <w:spacing w:before="0" w:after="0" w:line="408" w:lineRule="exact"/>
        <w:ind w:left="0" w:right="0" w:firstLine="576"/>
        <w:jc w:val="left"/>
      </w:pPr>
      <w:r>
        <w:rPr/>
        <w:t xml:space="preserve">(c) "Health and medical services" means:</w:t>
      </w:r>
    </w:p>
    <w:p>
      <w:pPr>
        <w:spacing w:before="0" w:after="0" w:line="408" w:lineRule="exact"/>
        <w:ind w:left="0" w:right="0" w:firstLine="576"/>
        <w:jc w:val="left"/>
      </w:pPr>
      <w:r>
        <w:rPr/>
        <w:t xml:space="preserve">(i) Services including furnishing medical care, dental care, pharmaceutical care, and care provided in a hospital or other medical facility;</w:t>
      </w:r>
    </w:p>
    <w:p>
      <w:pPr>
        <w:spacing w:before="0" w:after="0" w:line="408" w:lineRule="exact"/>
        <w:ind w:left="0" w:right="0" w:firstLine="576"/>
        <w:jc w:val="left"/>
      </w:pPr>
      <w:r>
        <w:rPr/>
        <w:t xml:space="preserve">(ii) Ancillary services, including ambulatory services and emergency and nonemergency transportation;</w:t>
      </w:r>
    </w:p>
    <w:p>
      <w:pPr>
        <w:spacing w:before="0" w:after="0" w:line="408" w:lineRule="exact"/>
        <w:ind w:left="0" w:right="0" w:firstLine="576"/>
        <w:jc w:val="left"/>
      </w:pPr>
      <w:r>
        <w:rPr/>
        <w:t xml:space="preserve">(iii) Services provided by any professional regulated under chapter 18.130 RCW, except for veterinarians, marriage and family therapists, athletic trainers, massage therapists, and mental health counselors; and</w:t>
      </w:r>
    </w:p>
    <w:p>
      <w:pPr>
        <w:spacing w:before="0" w:after="0" w:line="408" w:lineRule="exact"/>
        <w:ind w:left="0" w:right="0" w:firstLine="576"/>
        <w:jc w:val="left"/>
      </w:pPr>
      <w:r>
        <w:rPr/>
        <w:t xml:space="preserve">(iv) Behavioral health services, including mental health and substance use disorder treatment.</w:t>
      </w:r>
    </w:p>
    <w:p>
      <w:pPr>
        <w:spacing w:before="0" w:after="0" w:line="408" w:lineRule="exact"/>
        <w:ind w:left="0" w:right="0" w:firstLine="576"/>
        <w:jc w:val="left"/>
      </w:pPr>
      <w:r>
        <w:rPr/>
        <w:t xml:space="preserve">(d) "Paid claims" includes the net recovery of actual payments made on behalf of a Washington resident to a health and medical services provider or reimbursed to an individual by a covered entity. "Paid claims" does not include:</w:t>
      </w:r>
    </w:p>
    <w:p>
      <w:pPr>
        <w:spacing w:before="0" w:after="0" w:line="408" w:lineRule="exact"/>
        <w:ind w:left="0" w:right="0" w:firstLine="576"/>
        <w:jc w:val="left"/>
      </w:pPr>
      <w:r>
        <w:rPr/>
        <w:t xml:space="preserve">(i) Claims-related expenses;</w:t>
      </w:r>
    </w:p>
    <w:p>
      <w:pPr>
        <w:spacing w:before="0" w:after="0" w:line="408" w:lineRule="exact"/>
        <w:ind w:left="0" w:right="0" w:firstLine="576"/>
        <w:jc w:val="left"/>
      </w:pPr>
      <w:r>
        <w:rPr/>
        <w:t xml:space="preserve">(ii) Payments made to a qualifying provider under an incentive compensation arrangement if the payments are not reflected in the processing of claims submitted for services rendered to specific covered individuals;</w:t>
      </w:r>
    </w:p>
    <w:p>
      <w:pPr>
        <w:spacing w:before="0" w:after="0" w:line="408" w:lineRule="exact"/>
        <w:ind w:left="0" w:right="0" w:firstLine="576"/>
        <w:jc w:val="left"/>
      </w:pPr>
      <w:r>
        <w:rPr/>
        <w:t xml:space="preserve">(iii) Claims paid by covered entities for specified accident, accident-only coverage, credit, disability income, long-term care, health-related claims under automobile insurance, homeowners insurance, farm owners insurance, commercial multiple peril insurance, workers compensation, and coverage issued as a supplement to liability insurance;</w:t>
      </w:r>
    </w:p>
    <w:p>
      <w:pPr>
        <w:spacing w:before="0" w:after="0" w:line="408" w:lineRule="exact"/>
        <w:ind w:left="0" w:right="0" w:firstLine="576"/>
        <w:jc w:val="left"/>
      </w:pPr>
      <w:r>
        <w:rPr/>
        <w:t xml:space="preserve">(iv) Claims paid for services to a nonresident of Washington or for services provided outside of Washington;</w:t>
      </w:r>
    </w:p>
    <w:p>
      <w:pPr>
        <w:spacing w:before="0" w:after="0" w:line="408" w:lineRule="exact"/>
        <w:ind w:left="0" w:right="0" w:firstLine="576"/>
        <w:jc w:val="left"/>
      </w:pPr>
      <w:r>
        <w:rPr/>
        <w:t xml:space="preserve">(v) Claims paid under health coverage offered to federal employees;</w:t>
      </w:r>
    </w:p>
    <w:p>
      <w:pPr>
        <w:spacing w:before="0" w:after="0" w:line="408" w:lineRule="exact"/>
        <w:ind w:left="0" w:right="0" w:firstLine="576"/>
        <w:jc w:val="left"/>
      </w:pPr>
      <w:r>
        <w:rPr/>
        <w:t xml:space="preserve">(vi) Claims paid by a tribal government or a Taft-Hartley trust, or a third-party administrator acting on behalf of a tribal government or Taft-Hartley trust;</w:t>
      </w:r>
    </w:p>
    <w:p>
      <w:pPr>
        <w:spacing w:before="0" w:after="0" w:line="408" w:lineRule="exact"/>
        <w:ind w:left="0" w:right="0" w:firstLine="576"/>
        <w:jc w:val="left"/>
      </w:pPr>
      <w:r>
        <w:rPr/>
        <w:t xml:space="preserve">(vii) Claims paid under federal and state programs, including medicare, apple health, apple health for kids, tricare, and veterans administration coverage;</w:t>
      </w:r>
    </w:p>
    <w:p>
      <w:pPr>
        <w:spacing w:before="0" w:after="0" w:line="408" w:lineRule="exact"/>
        <w:ind w:left="0" w:right="0" w:firstLine="576"/>
        <w:jc w:val="left"/>
      </w:pPr>
      <w:r>
        <w:rPr/>
        <w:t xml:space="preserve">(viii) Reimbursement to an individual under a health reimbursement arrangement authorized under the federal internal revenue code, including a flexible spending arrangement, a health savings account, an Archer medical savings account, or a medicare advantage medical savings account;</w:t>
      </w:r>
    </w:p>
    <w:p>
      <w:pPr>
        <w:spacing w:before="0" w:after="0" w:line="408" w:lineRule="exact"/>
        <w:ind w:left="0" w:right="0" w:firstLine="576"/>
        <w:jc w:val="left"/>
      </w:pPr>
      <w:r>
        <w:rPr/>
        <w:t xml:space="preserve">(ix) Cost-sharing paid by an individual, including copayments, coinsurance, and deductibles;</w:t>
      </w:r>
    </w:p>
    <w:p>
      <w:pPr>
        <w:spacing w:before="0" w:after="0" w:line="408" w:lineRule="exact"/>
        <w:ind w:left="0" w:right="0" w:firstLine="576"/>
        <w:jc w:val="left"/>
      </w:pPr>
      <w:r>
        <w:rPr/>
        <w:t xml:space="preserve">(x) Claims paid by coverage offered under chapter 48.41 RCW.</w:t>
      </w:r>
    </w:p>
    <w:p>
      <w:pPr>
        <w:spacing w:before="0" w:after="0" w:line="408" w:lineRule="exact"/>
        <w:ind w:left="0" w:right="0" w:firstLine="576"/>
        <w:jc w:val="left"/>
      </w:pPr>
      <w:r>
        <w:rPr/>
        <w:t xml:space="preserve">(e) "Third-party administrators" means any person or entity who, on behalf of a health carrier or health care purchaser other than a tribal government or a Taft-Hartley trust, receives or collects charges or contributions for providers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health carrier community benefit fund is created in the state treasury. Moneys in the account may be spent only after appropriation.</w:t>
      </w:r>
    </w:p>
    <w:p>
      <w:pPr>
        <w:spacing w:before="0" w:after="0" w:line="408" w:lineRule="exact"/>
        <w:ind w:left="0" w:right="0" w:firstLine="576"/>
        <w:jc w:val="left"/>
      </w:pPr>
      <w:r>
        <w:rPr/>
        <w:t xml:space="preserve">(2) All receipts from tax collected by the insurance commissioner pursuant to section 1 of this act must be deposited in the health carrier community benefit fund.</w:t>
      </w:r>
    </w:p>
    <w:p>
      <w:pPr>
        <w:spacing w:before="0" w:after="0" w:line="408" w:lineRule="exact"/>
        <w:ind w:left="0" w:right="0" w:firstLine="576"/>
        <w:jc w:val="left"/>
      </w:pPr>
      <w:r>
        <w:rPr/>
        <w:t xml:space="preserve">(3) Expenditures from the health carrier community benefit fund must be used exclusively for:</w:t>
      </w:r>
    </w:p>
    <w:p>
      <w:pPr>
        <w:spacing w:before="0" w:after="0" w:line="408" w:lineRule="exact"/>
        <w:ind w:left="0" w:right="0" w:firstLine="576"/>
        <w:jc w:val="left"/>
      </w:pPr>
      <w:r>
        <w:rPr/>
        <w:t xml:space="preserve">(a) Subsidies for individuals purchasing individual market insurance coverage who are not eligible for federal insurance subsidies; and</w:t>
      </w:r>
    </w:p>
    <w:p>
      <w:pPr>
        <w:spacing w:before="0" w:after="0" w:line="408" w:lineRule="exact"/>
        <w:ind w:left="0" w:right="0" w:firstLine="576"/>
        <w:jc w:val="left"/>
      </w:pPr>
      <w:r>
        <w:rPr/>
        <w:t xml:space="preserve">(b) Foundational public health services pursuant to RCW 43.70.515.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w:t>
      </w:r>
      <w:r>
        <w:rPr>
          <w:u w:val="single"/>
        </w:rPr>
        <w:t xml:space="preserve">the health carrier community benefit fund,</w:t>
      </w:r>
      <w:r>
        <w:rPr/>
        <w:t xml:space="preserve">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tax on depreciated capital and the tax on a nonprofit health carrier's excessive surplus. Imposes a 1 percent tax on all paid claims by a covered health carrier. Remove "nonprofit" from the new account name.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952df3ee8e4b52" /></Relationships>
</file>