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9394d655964793" /></Relationships>
</file>

<file path=word/document.xml><?xml version="1.0" encoding="utf-8"?>
<w:document xmlns:w="http://schemas.openxmlformats.org/wordprocessingml/2006/main">
  <w:body>
    <w:p>
      <w:r>
        <w:rPr>
          <w:b/>
        </w:rPr>
        <w:r>
          <w:rPr/>
          <w:t xml:space="preserve">5079-S.E</w:t>
        </w:r>
      </w:r>
      <w:r>
        <w:rPr>
          <w:b/>
        </w:rPr>
        <w:t xml:space="preserve"> </w:t>
        <w:t xml:space="preserve">AMH</w:t>
      </w:r>
      <w:r>
        <w:rPr>
          <w:b/>
        </w:rPr>
        <w:t xml:space="preserve"> </w:t>
        <w:r>
          <w:rPr/>
          <w:t xml:space="preserve">SGOV</w:t>
        </w:r>
      </w:r>
      <w:r>
        <w:rPr>
          <w:b/>
        </w:rPr>
        <w:t xml:space="preserve"> </w:t>
        <w:r>
          <w:rPr/>
          <w:t xml:space="preserve">H2020.E</w:t>
        </w:r>
      </w:r>
      <w:r>
        <w:rPr>
          <w:b/>
        </w:rPr>
        <w:t xml:space="preserve"> - NOT FOR FLOOR USE</w:t>
      </w:r>
    </w:p>
    <w:p>
      <w:pPr>
        <w:ind w:left="0" w:right="0" w:firstLine="576"/>
      </w:pPr>
    </w:p>
    <w:p>
      <w:pPr>
        <w:spacing w:before="480" w:after="0" w:line="408" w:lineRule="exact"/>
      </w:pPr>
      <w:r>
        <w:rPr>
          <w:b/>
          <w:u w:val="single"/>
        </w:rPr>
        <w:t xml:space="preserve">ESSB 5079</w:t>
      </w:r>
      <w:r>
        <w:t xml:space="preserve"> -</w:t>
      </w:r>
      <w:r>
        <w:t xml:space="preserve"> </w:t>
        <w:t xml:space="preserve">H COMM AMD</w:t>
      </w:r>
      <w:r>
        <w:t xml:space="preserve"> </w:t>
      </w:r>
      <w:r>
        <w:rPr>
          <w:b/>
        </w:rPr>
      </w:r>
    </w:p>
    <w:p>
      <w:pPr>
        <w:spacing w:before="0" w:after="0" w:line="408" w:lineRule="exact"/>
        <w:ind w:left="0" w:right="0" w:firstLine="576"/>
        <w:jc w:val="left"/>
      </w:pP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2009 c 369 s 6 are each amended to read as follows:</w:t>
      </w:r>
    </w:p>
    <w:p>
      <w:pPr>
        <w:spacing w:before="0" w:after="0" w:line="408" w:lineRule="exact"/>
        <w:ind w:left="0" w:right="0" w:firstLine="576"/>
        <w:jc w:val="left"/>
      </w:pPr>
      <w:r>
        <w:rPr/>
        <w:t xml:space="preserve">(1) The minimum information provided on a voter registration application that is required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and</w:t>
      </w:r>
    </w:p>
    <w:p>
      <w:pPr>
        <w:spacing w:before="0" w:after="0" w:line="408" w:lineRule="exact"/>
        <w:ind w:left="0" w:right="0" w:firstLine="576"/>
        <w:jc w:val="left"/>
      </w:pPr>
      <w:r>
        <w:rPr/>
        <w:t xml:space="preserve">(e) A check or indication in the box confirming the individual is a United States citizen.</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 A traditional address consists of a street number and name, optional apartment number or unit number, and city or town, as assigned by a local government, which serves to identify the parcel or building of residence and the unit if a multiunit residence. A nontraditional address consists of a narrative description of the location of the voter's residence, and may be used when a traditional address has not been assigned </w:t>
      </w:r>
      <w:r>
        <w:rPr>
          <w:u w:val="single"/>
        </w:rPr>
        <w:t xml:space="preserve">or affixed</w:t>
      </w:r>
      <w:r>
        <w:rPr/>
        <w:t xml:space="preserve"> to the voter's residence </w:t>
      </w:r>
      <w:r>
        <w:rPr>
          <w:u w:val="single"/>
        </w:rPr>
        <w:t xml:space="preserve">or when a voter resides on an Indian reservation or Indian lands, pursuant to the conditions in RCW 29A.08.112</w:t>
      </w:r>
      <w:r>
        <w:rPr/>
        <w:t xml:space="preserve">.</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112</w:t>
      </w:r>
      <w:r>
        <w:rPr/>
        <w:t xml:space="preserve"> and 2006 c 320 s 3 are each amended to read as follows:</w:t>
      </w:r>
    </w:p>
    <w:p>
      <w:pPr>
        <w:spacing w:before="0" w:after="0" w:line="408" w:lineRule="exact"/>
        <w:ind w:left="0" w:right="0" w:firstLine="576"/>
        <w:jc w:val="left"/>
      </w:pPr>
      <w:r>
        <w:rPr>
          <w:u w:val="single"/>
        </w:rPr>
        <w:t xml:space="preserve">(1)</w:t>
      </w:r>
      <w:r>
        <w:rPr/>
        <w:t xml:space="preserve"> No person registering to vote, who meets all the qualifications of a registered voter in the state of Washington, shall be disqualified because he or she lacks a traditional residential address. A voter who lacks a traditional residential address will be registered and assigned to a precinct based on the location provided.</w:t>
      </w:r>
    </w:p>
    <w:p>
      <w:pPr>
        <w:spacing w:before="0" w:after="0" w:line="408" w:lineRule="exact"/>
        <w:ind w:left="0" w:right="0" w:firstLine="576"/>
        <w:jc w:val="left"/>
      </w:pPr>
      <w:r>
        <w:rPr>
          <w:u w:val="single"/>
        </w:rPr>
        <w:t xml:space="preserve">(2)</w:t>
      </w:r>
      <w:r>
        <w:rPr/>
        <w:t xml:space="preserve"> For the purposes of this section, a voter who resides in a shelter, park, motor home, marina, </w:t>
      </w:r>
      <w:r>
        <w:rPr>
          <w:u w:val="single"/>
        </w:rPr>
        <w:t xml:space="preserve">unmarked home,</w:t>
      </w:r>
      <w:r>
        <w:rPr/>
        <w:t xml:space="preserve"> or other identifiable location that the voter deems to be his or her residence lacks a traditional address. A voter who registers under this section must provide a valid mailing address, and must still meet the requirement in Article VI, section 1 of the state Constitution that he or she live in the area for at least thirty days before the election.</w:t>
      </w:r>
    </w:p>
    <w:p>
      <w:pPr>
        <w:spacing w:before="0" w:after="0" w:line="408" w:lineRule="exact"/>
        <w:ind w:left="0" w:right="0" w:firstLine="576"/>
        <w:jc w:val="left"/>
      </w:pPr>
      <w:r>
        <w:rPr>
          <w:u w:val="single"/>
        </w:rPr>
        <w:t xml:space="preserve">(3) A nontraditional residential address may be used when a voter resides on an Indian reservation or on Indian lands.</w:t>
      </w:r>
    </w:p>
    <w:p>
      <w:pPr>
        <w:spacing w:before="0" w:after="0" w:line="408" w:lineRule="exact"/>
        <w:ind w:left="0" w:right="0" w:firstLine="576"/>
        <w:jc w:val="left"/>
      </w:pPr>
      <w:r>
        <w:rPr>
          <w:u w:val="single"/>
        </w:rPr>
        <w:t xml:space="preserve">(4) A federally recognized tribe may designate one or more tribal government buildings to serve as a residential address or mailing address or both for voters living on an Indian reservation or on Indian lands. However, a voter may not use a tribally designated building as the voter's residential address if the building is in a different precinct than where the voter lives.</w:t>
      </w:r>
    </w:p>
    <w:p>
      <w:pPr>
        <w:spacing w:before="0" w:after="0" w:line="408" w:lineRule="exact"/>
        <w:ind w:left="0" w:right="0" w:firstLine="576"/>
        <w:jc w:val="left"/>
      </w:pPr>
      <w:r>
        <w:rPr>
          <w:u w:val="single"/>
        </w:rPr>
        <w:t xml:space="preserve">(5)</w:t>
      </w:r>
      <w:r>
        <w:rPr/>
        <w:t xml:space="preserve"> A person who has a traditional residential address </w:t>
      </w:r>
      <w:r>
        <w:rPr>
          <w:u w:val="single"/>
        </w:rPr>
        <w:t xml:space="preserve">and does not reside on an Indian reservation or on Indian lands</w:t>
      </w:r>
      <w:r>
        <w:rPr/>
        <w:t xml:space="preserve"> must use that address for voter registration purposes and is not eligible to register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123</w:t>
      </w:r>
      <w:r>
        <w:rPr/>
        <w:t xml:space="preserve"> and 2007 c 157 s 1 are each amended to read as follows:</w:t>
      </w:r>
    </w:p>
    <w:p>
      <w:pPr>
        <w:spacing w:before="0" w:after="0" w:line="408" w:lineRule="exact"/>
        <w:ind w:left="0" w:right="0" w:firstLine="576"/>
        <w:jc w:val="left"/>
      </w:pPr>
      <w:r>
        <w:rPr/>
        <w:t xml:space="preserve">(1) A person who has a valid Washington state driver's license </w:t>
      </w:r>
      <w:r>
        <w:t>((</w:t>
      </w:r>
      <w:r>
        <w:rPr>
          <w:strike/>
        </w:rPr>
        <w:t xml:space="preserve">or</w:t>
      </w:r>
      <w:r>
        <w:t>))</w:t>
      </w:r>
      <w:r>
        <w:rPr>
          <w:u w:val="single"/>
        </w:rPr>
        <w:t xml:space="preserve">,</w:t>
      </w:r>
      <w:r>
        <w:rPr/>
        <w:t xml:space="preserve"> state identification card</w:t>
      </w:r>
      <w:r>
        <w:rPr>
          <w:u w:val="single"/>
        </w:rPr>
        <w:t xml:space="preserve">, or tribal identification</w:t>
      </w:r>
      <w:r>
        <w:rPr/>
        <w:t xml:space="preserve"> may submit a voter registration application electronically on the secretary of state's web site. </w:t>
      </w:r>
      <w:r>
        <w:rPr>
          <w:u w:val="single"/>
        </w:rPr>
        <w:t xml:space="preserve">A person who has a valid tribal identification card may submit a voter registration electronically on the secretary of state's web site if the secretary of state is able to obtain a copy of the applicant's signature from the federal government or the tribal government.</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The applicant must affirmatively assent to use of his or her driver's license </w:t>
      </w:r>
      <w:r>
        <w:t>((</w:t>
      </w:r>
      <w:r>
        <w:rPr>
          <w:strike/>
        </w:rPr>
        <w:t xml:space="preserve">or</w:t>
      </w:r>
      <w:r>
        <w:t>))</w:t>
      </w:r>
      <w:r>
        <w:rPr>
          <w:u w:val="single"/>
        </w:rPr>
        <w:t xml:space="preserve">,</w:t>
      </w:r>
      <w:r>
        <w:rPr/>
        <w:t xml:space="preserve"> state identification card</w:t>
      </w:r>
      <w:r>
        <w:rPr>
          <w:u w:val="single"/>
        </w:rPr>
        <w:t xml:space="preserve">, or tribal identification card</w:t>
      </w:r>
      <w:r>
        <w:rPr/>
        <w:t xml:space="preserve"> signature for voter registration purposes.</w:t>
      </w:r>
    </w:p>
    <w:p>
      <w:pPr>
        <w:spacing w:before="0" w:after="0" w:line="408" w:lineRule="exact"/>
        <w:ind w:left="0" w:right="0" w:firstLine="576"/>
        <w:jc w:val="left"/>
      </w:pPr>
      <w:r>
        <w:rPr/>
        <w:t xml:space="preserve">(4) A voter registration application submitted electronically is otherwise considered a registration by mail.</w:t>
      </w:r>
    </w:p>
    <w:p>
      <w:pPr>
        <w:spacing w:before="0" w:after="0" w:line="408" w:lineRule="exact"/>
        <w:ind w:left="0" w:right="0" w:firstLine="576"/>
        <w:jc w:val="left"/>
      </w:pPr>
      <w:r>
        <w:rPr/>
        <w:t xml:space="preserve">(5) For each electronic application, the secretary of state must obtain a digital copy of the applicant's driver's license or state identification card signature from the department of licensing </w:t>
      </w:r>
      <w:r>
        <w:rPr>
          <w:u w:val="single"/>
        </w:rPr>
        <w:t xml:space="preserve">or tribal identification issuing authority</w:t>
      </w:r>
      <w:r>
        <w:rPr/>
        <w:t xml:space="preserve">.</w:t>
      </w:r>
    </w:p>
    <w:p>
      <w:pPr>
        <w:spacing w:before="0" w:after="0" w:line="408" w:lineRule="exact"/>
        <w:ind w:left="0" w:right="0" w:firstLine="576"/>
        <w:jc w:val="left"/>
      </w:pPr>
      <w:r>
        <w:rPr/>
        <w:t xml:space="preserve">(6)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310</w:t>
      </w:r>
      <w:r>
        <w:rPr/>
        <w:t xml:space="preserve"> and 2009 c 369 s 19 are each amended to read as follows:</w:t>
      </w:r>
    </w:p>
    <w:p>
      <w:pPr>
        <w:spacing w:before="0" w:after="0" w:line="408" w:lineRule="exact"/>
        <w:ind w:left="0" w:right="0" w:firstLine="576"/>
        <w:jc w:val="left"/>
      </w:pPr>
      <w:r>
        <w:rPr/>
        <w:t xml:space="preserve">(1) The governor, in consultation with the secretary of state, shall designate agencies to provide voter registration services in compliance with federal statutes.</w:t>
      </w:r>
    </w:p>
    <w:p>
      <w:pPr>
        <w:spacing w:before="0" w:after="0" w:line="408" w:lineRule="exact"/>
        <w:ind w:left="0" w:right="0" w:firstLine="576"/>
        <w:jc w:val="left"/>
      </w:pPr>
      <w:r>
        <w:rPr/>
        <w:t xml:space="preserve">(2) </w:t>
      </w:r>
      <w:r>
        <w:rPr>
          <w:u w:val="single"/>
        </w:rPr>
        <w:t xml:space="preserve">A federally recognized tribe may request that the governor designate one or more state facilities or state-funded facilities or programs that are located on the lands of the requesting Indian tribe or that are substantially engaged in providing services to Indian tribes, as selected by the tribe, to provide voter registration services. This provision does not alter the state's obligations under the national voter registration act.</w:t>
      </w:r>
    </w:p>
    <w:p>
      <w:pPr>
        <w:spacing w:before="0" w:after="0" w:line="408" w:lineRule="exact"/>
        <w:ind w:left="0" w:right="0" w:firstLine="576"/>
        <w:jc w:val="left"/>
      </w:pPr>
      <w:r>
        <w:rPr>
          <w:u w:val="single"/>
        </w:rPr>
        <w:t xml:space="preserve">(3)</w:t>
      </w:r>
      <w:r>
        <w:rPr/>
        <w:t xml:space="preserve"> Each state agency designated shall provide voter registration services for employees and the public within each office of that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secretary of state shall design and provide a standard notice informing the public of the availability of voter registration, which notice shall be posted in each state agency where such services are available.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institution of higher education shall put in place an active prompt on its course registration web site, or similar web site that students actively and regularly use, that, if selected, will link the student to the secretary of state's voter registration web site. The prompt must ask the student if he or she wishes to register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(2) The county auditor must establish a minimum of one ballot drop box per fifteen thousand registered voters in the county and a minimum of one ballot drop box in each city, town, and census-designated place in the county with a post office.</w:t>
      </w:r>
    </w:p>
    <w:p>
      <w:pPr>
        <w:spacing w:before="0" w:after="0" w:line="408" w:lineRule="exact"/>
        <w:ind w:left="0" w:right="0" w:firstLine="576"/>
        <w:jc w:val="left"/>
      </w:pPr>
      <w:r>
        <w:rPr/>
        <w:t xml:space="preserve">(3) At the request of a federally recognized Indian tribe with a reservation in the county, the county auditor must establish at least one ballot drop box on the Indian reservation on a site selected by the tribe that is accessible to the county auditor by a public road.</w:t>
      </w:r>
    </w:p>
    <w:p>
      <w:pPr>
        <w:spacing w:before="0" w:after="0" w:line="408" w:lineRule="exact"/>
        <w:ind w:left="0" w:right="0" w:firstLine="576"/>
        <w:jc w:val="left"/>
      </w:pPr>
      <w:r>
        <w:rPr/>
        <w:t xml:space="preserve">(4) A federally recognized Indian tribe may designate at least one building as a ballot pickup and collection location at no cost to the tribe. The designated building must be accessible to the county auditor by a public road. The county auditor of the county in which the building is located must collect ballots from that location in compliance with the procedures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2018 c 112 s 4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Each county auditor shall register voters in person at each of the following locations in the county:</w:t>
      </w:r>
    </w:p>
    <w:p>
      <w:pPr>
        <w:spacing w:before="0" w:after="0" w:line="408" w:lineRule="exact"/>
        <w:ind w:left="0" w:right="0" w:firstLine="576"/>
        <w:jc w:val="left"/>
      </w:pPr>
      <w:r>
        <w:rPr/>
        <w:t xml:space="preserve">(a) At the county auditor's office;</w:t>
      </w:r>
    </w:p>
    <w:p>
      <w:pPr>
        <w:spacing w:before="0" w:after="0" w:line="408" w:lineRule="exact"/>
        <w:ind w:left="0" w:right="0" w:firstLine="576"/>
        <w:jc w:val="left"/>
      </w:pPr>
      <w:r>
        <w:rPr/>
        <w:t xml:space="preserve">(b) At the division of elections, if located in a separate city from the county auditor's office; and</w:t>
      </w:r>
    </w:p>
    <w:p>
      <w:pPr>
        <w:spacing w:before="0" w:after="0" w:line="408" w:lineRule="exact"/>
        <w:ind w:left="0" w:right="0" w:firstLine="576"/>
        <w:jc w:val="left"/>
      </w:pPr>
      <w:r>
        <w:rPr/>
        <w:t xml:space="preserve">(c) For each presidential general election, at a voting center in each city in the county with a population of one hundred thousand or greater, which does not have a voting center as required in (a) or (b) of this subsection. A voting center opened pursuant to this subsection (2) is not required to be open on the Sunday before the presidential election.</w:t>
      </w:r>
    </w:p>
    <w:p>
      <w:pPr>
        <w:spacing w:before="0" w:after="0" w:line="408" w:lineRule="exact"/>
        <w:ind w:left="0" w:right="0" w:firstLine="576"/>
        <w:jc w:val="left"/>
      </w:pPr>
      <w:r>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t xml:space="preserve">(4) Each voting center, and at least one of the other locations designated by the county auditor to allow voters to register in person pursuant to RCW 29A.08.140(1)(b),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(5) Each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(6) Each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(7)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(8)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(9)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w:t>
      </w:r>
      <w:r>
        <w:rPr>
          <w:u w:val="single"/>
        </w:rPr>
        <w:t xml:space="preserve">A tribal identification card is not required to include a residential address or an expiration date to be considered valid under this section.</w:t>
      </w:r>
      <w:r>
        <w:rPr/>
        <w:t xml:space="preserve">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(10)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(11)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(12)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(13)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(14)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(15) </w:t>
      </w:r>
      <w:r>
        <w:t>((</w:t>
      </w:r>
      <w:r>
        <w:rPr>
          <w:strike/>
        </w:rPr>
        <w:t xml:space="preserve">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strike/>
        </w:rPr>
        <w:t xml:space="preserve">(16)</w:t>
      </w:r>
      <w:r>
        <w:t>))</w:t>
      </w:r>
      <w:r>
        <w:rPr/>
        <w:t xml:space="preserve"> Any voter who is inside or in line at the voting center at 8:00 p.m. on the day of the primary, special election, or general election must be allowed to vote.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r>
        <w:t>((</w:t>
      </w:r>
      <w:r>
        <w:rPr>
          <w:strike/>
        </w:rPr>
        <w:t xml:space="preserve">, except that the county auditor must establish a minimum of one ballot drop box per fifteen thousand registered voters in the county and a minimum of one ballot drop box in each city, town, and census-designated place in the county with a post office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(1) The attorney general may bring a civil action for such declaratory or injunctive relief as is necessary to carry out the provisions of section 5 (3) and (4) of this act in the superior court of the county in which the violation is alleged to have occurred.</w:t>
      </w:r>
    </w:p>
    <w:p>
      <w:pPr>
        <w:spacing w:before="0" w:after="0" w:line="408" w:lineRule="exact"/>
        <w:ind w:left="0" w:right="0" w:firstLine="576"/>
        <w:jc w:val="left"/>
      </w:pPr>
      <w:r>
        <w:rPr/>
        <w:t xml:space="preserve">(2) A person or federally recognized tribal government may bring a civil action for declaratory or injunctive relief with respect to RCW 29A.08.112(3), 29.08.310(2), or section 5 (3) and (4) of this act, in the superior court of the county in which the violation is alleged to have occurred if:</w:t>
      </w:r>
    </w:p>
    <w:p>
      <w:pPr>
        <w:spacing w:before="0" w:after="0" w:line="408" w:lineRule="exact"/>
        <w:ind w:left="0" w:right="0" w:firstLine="576"/>
        <w:jc w:val="left"/>
      </w:pPr>
      <w:r>
        <w:rPr/>
        <w:t xml:space="preserve">(a) In the case of a violation that occurs more than one hundred twenty days before an election, that person or tribal government provides notice of the violation to the secretary of state, the violation remains, and ninety days or more have passed since the secretary of state has received the written notice;</w:t>
      </w:r>
    </w:p>
    <w:p>
      <w:pPr>
        <w:spacing w:before="0" w:after="0" w:line="408" w:lineRule="exact"/>
        <w:ind w:left="0" w:right="0" w:firstLine="576"/>
        <w:jc w:val="left"/>
      </w:pPr>
      <w:r>
        <w:rPr/>
        <w:t xml:space="preserve">(b) In the case of a violation that occurs one hundred twenty days or fewer before an election, that person or tribal government provides notice of the violation to the secretary of state, the violation remains and twenty days or more have passed since the secretary of state has received the written notice; or</w:t>
      </w:r>
    </w:p>
    <w:p>
      <w:pPr>
        <w:spacing w:before="0" w:after="0" w:line="408" w:lineRule="exact"/>
        <w:ind w:left="0" w:right="0" w:firstLine="576"/>
        <w:jc w:val="left"/>
      </w:pPr>
      <w:r>
        <w:rPr/>
        <w:t xml:space="preserve">(c) In the case of a violation that occurs thirty days or fewer before an election, without providing notice of the violation to the secretary of state."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99f606a0b544ee" /></Relationships>
</file>