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2cee67a35420d"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FIN</w:t>
        </w:r>
      </w:r>
      <w:r>
        <w:rPr>
          <w:b/>
        </w:rPr>
        <w:t xml:space="preserve"> </w:t>
        <w:r>
          <w:rPr/>
          <w:t xml:space="preserve">H2714.2</w:t>
        </w:r>
      </w:r>
      <w:r>
        <w:rPr>
          <w:b/>
        </w:rPr>
        <w:t xml:space="preserve"> - NOT FOR FLOOR USE</w:t>
      </w:r>
    </w:p>
    <w:p>
      <w:pPr>
        <w:ind w:left="0" w:right="0" w:firstLine="576"/>
      </w:pPr>
    </w:p>
    <w:p>
      <w:pPr>
        <w:spacing w:before="480" w:after="0" w:line="408" w:lineRule="exact"/>
      </w:pPr>
      <w:r>
        <w:rPr>
          <w:b/>
          <w:u w:val="single"/>
        </w:rPr>
        <w:t xml:space="preserve">E2SSB 5116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NOT CONSIDERED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It is the intent of the legislature to provide flexible tools to address the variability of hydropower for compliance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9(2)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section 25 of this act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the effective date of this section.</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the effective date of this section,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shall allow in electric rates all decommissioning and remediation costs prudently incurred by an investor-owned utility for a coal-fired facility.</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a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9(1) of this act,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9(2) of this act;</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used by the electric utility for compliance with RCW 19.285.040 in a RCW 19.285.040 compliance year within the compliance period under this section;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resources used to meet the standard under (a) of this subsection must be generated during the compliance period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section 9(1) of this act,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section 25 of this act,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section 6(3)(a) of this act, a multistate electric utility with fewer than two hundred fifty thousand customers in Washington may apply the total amount of megawatt-hour of coal-fired resources eliminated from the utility's allocation of electricity before December 31, 2025, as an equivalent amount of megawatt-hour of nonemitting electric generation or electricity from renewable resources required to comply with subsection (1)(a) of this section. The utility must demonstrate that for every megawatt-hour of early action credit there is a real, permanent reduction in greenhouse gas emissions in the western interconnection directly associated with that credit. A multistate electric utility must request to use early compliance credit in its clean energy implementation plan that is submitted under section 6 of this act.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market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sections 4(1) and 5(1) of this act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section 4(1) of this act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sections 4(1) and 5(1) of this act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sections 4(1) and 5(1) of this act that:</w:t>
      </w:r>
    </w:p>
    <w:p>
      <w:pPr>
        <w:spacing w:before="0" w:after="0" w:line="408" w:lineRule="exact"/>
        <w:ind w:left="0" w:right="0" w:firstLine="576"/>
        <w:jc w:val="left"/>
      </w:pPr>
      <w:r>
        <w:rPr/>
        <w:t xml:space="preserve">(i) Proposes interim targets for meeting the standard under section 4(1) of this act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sections 4(1) and 5(1) of this act if, over the four-year compliance period, the average annual incremental cost of meeting the standards or the interim targets established under subsection (1) of this section meets but does not exceed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an investor-owned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(4)(a) A consumer-owned utility must be considered to be in compliance with the standards under sections 4(1) and 5(1) of this act if, over the four-year compliance period, the average annual incremental cost of meeting the standards or the interim targets established under subsection (2) of this section meets but does not exceed a two percent increase of the consumer-owned utility's retail revenue requirement above the previous year.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 consumer-owned utility relies on (a) of this subsection as a basis for compliance with the standard under section 4(1) of this act,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disclose its greenhouse gas content calculation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(2) For unspecified electricity, the utility must use an emissions rate determined, and periodically updated, by the department of ecology by rule. The department of ecology must adopt an emissions rate for unspecified electricity consistent with the emissions rate established for other markets in the western interconnection. If the department of ecology has not adopted an emissions rate for unspecified electricity, the emissions rate that applies for the purposes of this chapter is 0.437 metric tons of carbon dioxide per megawatt-hour of electricity.</w:t>
      </w:r>
    </w:p>
    <w:p>
      <w:pPr>
        <w:spacing w:before="0" w:after="0" w:line="408" w:lineRule="exact"/>
        <w:ind w:left="0" w:right="0" w:firstLine="576"/>
        <w:jc w:val="left"/>
      </w:pPr>
      <w:r>
        <w:rPr/>
        <w:t xml:space="preserve">(3) For the purposes of this act, the fuel mix calculated for the Bonneville power administration may exclude any purchases of electric generation that are not associated with load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and at least every four years thereafter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public interest and environmental organizations, and the regional entity for the western interconnection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commission and the department must consult with a national laboratory with expertise in grid reliability, security, and resilience.</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sections 3 through 5 of this act on middle-income families, small businesses, and manufacturers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an affected market customer that fails to meet the standards established under sections 3(1) and 4(1)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 3(1) or 4(1) of this act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section 4(1)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section 4(1) of this act,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sections 3(1) and 4(1) of this act;</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section 8 of this act demonstrates adverse system reliability impacts from the implementation of sections 4 and 5 of this act,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It is the intent of the legislature that the commission and the department coordinate in developing rules related to process, timelines, and documentation that are necessary for the implementation of this chapter.</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(5) An investor-owned utility must also report all information required in subsection (4) of this section to the commission.</w:t>
      </w:r>
    </w:p>
    <w:p>
      <w:pPr>
        <w:spacing w:before="0" w:after="0" w:line="408" w:lineRule="exact"/>
        <w:ind w:left="0" w:right="0" w:firstLine="576"/>
        <w:jc w:val="left"/>
      </w:pPr>
      <w:r>
        <w:rPr/>
        <w:t xml:space="preserve">(6) An electric utility must also make reports required in this section available to its retail electric customers.</w:t>
      </w:r>
    </w:p>
    <w:p>
      <w:pPr>
        <w:spacing w:before="0" w:after="0" w:line="408" w:lineRule="exact"/>
        <w:ind w:left="0" w:right="0" w:firstLine="576"/>
        <w:jc w:val="left"/>
      </w:pPr>
      <w:r>
        <w:rPr/>
        <w:t xml:space="preserve">(7) The department of ecology must adopt rules, in consultation with the commission and the department of commerce,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department must adopt rules providing for the measuring and tracking of thermal renewable energy credits that may be used for compliance under section 4 of this act.</w:t>
      </w:r>
    </w:p>
    <w:p>
      <w:pPr>
        <w:spacing w:before="0" w:after="0" w:line="408" w:lineRule="exact"/>
        <w:ind w:left="0" w:right="0" w:firstLine="576"/>
        <w:jc w:val="left"/>
      </w:pPr>
      <w:r>
        <w:rPr/>
        <w:t xml:space="preserve">(9) Pursuant to the administrative procedure act, chapter 34.05 RCW, rules needed for the implementation of this chapter must be adopted by January 1, 2021, unless specified otherwise elsewhere in this chapter.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 All utility activities to comply with the requirements established under chapter 19.285 RCW also qualify for compliance with the requirements contained in this chapter, insofar as those activities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 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electric utilities, gas companies, the Bonneville power administration, public interest and environmental organizations, and other agencies.</w:t>
      </w:r>
    </w:p>
    <w:p>
      <w:pPr>
        <w:spacing w:before="0" w:after="0" w:line="408" w:lineRule="exact"/>
        <w:ind w:left="0" w:right="0" w:firstLine="576"/>
        <w:jc w:val="left"/>
      </w:pPr>
      <w:r>
        <w:rPr/>
        <w:t xml:space="preserve">(3) The department and the commission must adopt rules by June 30, 2022, defining requirements, including appropriate verification and reporting requirements, for the following: (a) Retail load met with market purchases and the western energy imbalance market or other centralized market administered by a market operator; and (b) to address the prohibition on double counting of nonpower attributes under section 4(1) of this act that could occur under other programs. With respect to purchases from the western energy imbalance market or other centralized market, the department and the commission must consult with the market operator and market participants to consider options that support the objectives of this chapter and the efficient dispatch of the generation resources dispatched by those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w:t>
      </w:r>
      <w:r>
        <w:t>((</w:t>
      </w:r>
      <w:r>
        <w:rPr>
          <w:strike/>
        </w:rPr>
        <w:t xml:space="preserve">shall</w:t>
      </w:r>
      <w:r>
        <w:t>))</w:t>
      </w:r>
      <w:r>
        <w:rPr/>
        <w:t xml:space="preserve"> </w:t>
      </w:r>
      <w:r>
        <w:rPr>
          <w:u w:val="single"/>
        </w:rPr>
        <w:t xml:space="preserve">must</w:t>
      </w:r>
      <w:r>
        <w:rPr/>
        <w:t xml:space="preserve">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assessment for conservation potential under RCW 19.285.040 for the planning horizon consistent with (a) of this subsection</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resource adequacy metrics for the resource plan consistent with the forecasts;</w:t>
      </w:r>
    </w:p>
    <w:p>
      <w:pPr>
        <w:spacing w:before="0" w:after="0" w:line="408" w:lineRule="exact"/>
        <w:ind w:left="0" w:right="0" w:firstLine="576"/>
        <w:jc w:val="left"/>
      </w:pPr>
      <w:r>
        <w:rPr>
          <w:u w:val="single"/>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informed by the cumulative impact analysis conducted under section 25 of this act,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u w:val="single"/>
        </w:rPr>
        <w:t xml:space="preserve">(l)</w:t>
      </w:r>
      <w:r>
        <w:rPr/>
        <w:t xml:space="preserve"> A </w:t>
      </w:r>
      <w:r>
        <w:t>((</w:t>
      </w:r>
      <w:r>
        <w:rPr>
          <w:strike/>
        </w:rPr>
        <w:t xml:space="preserve">short-term plan identifying</w:t>
      </w:r>
      <w:r>
        <w:t>))</w:t>
      </w:r>
      <w:r>
        <w:rPr/>
        <w:t xml:space="preserve"> </w:t>
      </w:r>
      <w:r>
        <w:rPr>
          <w:u w:val="single"/>
        </w:rPr>
        <w:t xml:space="preserve">ten-year clean energy action plan for implementing sections 3 through 5 of this act at the lowest reasonable cost, and at an acceptable resource adequacy standard, that identifies</w:t>
      </w:r>
      <w:r>
        <w:rPr/>
        <w:t xml:space="preserve">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w:t>
      </w:r>
      <w:r>
        <w:rPr>
          <w:u w:val="single"/>
        </w:rPr>
        <w:t xml:space="preserve">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and in every resource plan thereafter, identifies how the utility plans over a ten-year period to implement sections 4 and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w:t>
      </w:r>
      <w:r>
        <w:rPr>
          <w:u w:val="single"/>
        </w:rPr>
        <w:t xml:space="preserve">on intervals approved by the commission or the department, or</w:t>
      </w:r>
      <w:r>
        <w:rPr/>
        <w:t xml:space="preserve">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(10)(a) To maximize transparency, the commission, for investor-owned utilities, or the governing body, for consumer-owned utilities, may require an electric utility to make the utility's data input files available in a native format.</w:t>
      </w:r>
      <w:r>
        <w:rPr/>
        <w:t xml:space="preserve">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By December 31, 2021, the department and the commission must adopt rules establishing the requirements for incorporating the cumulative impact analysis developed under section 25 of this act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the effective date of this act to meet the requirements of sections 4 and 5 of this act,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(2) An entity that establishes or extends service to the premises of a customer who is being served by an electric utility or was served by an electric utility prior to the effective date of this act must serve those premises in a manner that complies with the requirements of this act and with chapter 19.285 RCW, if applicable. An electric utility or other entity that fails to comply with the requirements of this subsection must pay the administrative penalty under section 9(1) of this act for each megawatt-hour of electric generation used to serve load that does not meet the terms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19 and 20, chapter . . ., Laws of 2019 (sections 19 and 20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and expand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19 and 20, chapter . . ., Laws of 2019 (sections 19 and 20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w:t>
      </w:r>
      <w:r>
        <w:rPr>
          <w:u w:val="single"/>
        </w:rPr>
        <w:t xml:space="preserve">(b)</w:t>
      </w:r>
      <w:r>
        <w:rPr/>
        <w:t xml:space="preserve">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w:t>
      </w:r>
      <w:r>
        <w:rPr>
          <w:u w:val="single"/>
        </w:rPr>
        <w:t xml:space="preserve">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but no more than five hundred kilowatts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(c)(i)(A) and (B)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January 1, 2020, and through December 31, 2029, the purchaser is entitled to an exemption under this subsection (1)(e) in an amount equal to one hundred percent of the state and local sales tax paid, if the exempt purchase is for machinery and equipment that is used directly in the generation of electricity by a solar energy system that is capable of generating no more than one hundred kilowatts of electricity, or labor and services rendered in respect to installing such machinery and equipment, and the purchaser meets the following requirements:</w:t>
      </w:r>
    </w:p>
    <w:p>
      <w:pPr>
        <w:spacing w:before="0" w:after="0" w:line="408" w:lineRule="exact"/>
        <w:ind w:left="0" w:right="0" w:firstLine="576"/>
        <w:jc w:val="left"/>
      </w:pPr>
      <w:r>
        <w:rPr>
          <w:u w:val="single"/>
        </w:rPr>
        <w:t xml:space="preserve">(i) The purchaser has obtained a certificate of registration in compliance with chapter 18.27 RCW;</w:t>
      </w:r>
    </w:p>
    <w:p>
      <w:pPr>
        <w:spacing w:before="0" w:after="0" w:line="408" w:lineRule="exact"/>
        <w:ind w:left="0" w:right="0" w:firstLine="576"/>
        <w:jc w:val="left"/>
      </w:pPr>
      <w:r>
        <w:rPr>
          <w:u w:val="single"/>
        </w:rPr>
        <w:t xml:space="preserve">(ii) The purchaser has obtained a current state unified business identifier number;</w:t>
      </w:r>
    </w:p>
    <w:p>
      <w:pPr>
        <w:spacing w:before="0" w:after="0" w:line="408" w:lineRule="exact"/>
        <w:ind w:left="0" w:right="0" w:firstLine="576"/>
        <w:jc w:val="left"/>
      </w:pPr>
      <w:r>
        <w:rPr>
          <w:u w:val="single"/>
        </w:rPr>
        <w:t xml:space="preserve">(iii) The purchaser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The purchaser has a history of compliance with federal and state wage and hour laws and regulations.</w:t>
      </w:r>
    </w:p>
    <w:p>
      <w:pPr>
        <w:spacing w:before="0" w:after="0" w:line="408" w:lineRule="exact"/>
        <w:ind w:left="0" w:right="0" w:firstLine="576"/>
        <w:jc w:val="left"/>
      </w:pPr>
      <w:r>
        <w:rPr>
          <w:u w:val="single"/>
        </w:rPr>
        <w:t xml:space="preserve">(f) In order to qualify for the exemption under (e)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t xml:space="preserve">(2) </w:t>
      </w:r>
      <w:r>
        <w:rPr>
          <w:u w:val="single"/>
        </w:rPr>
        <w:t xml:space="preserve">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 The exemption provided by this section expires September 30, 2017, as it applies to: (a)</w:t>
      </w:r>
      <w:r>
        <w:t>))</w:t>
      </w:r>
      <w:r>
        <w:rPr/>
        <w:t xml:space="preserve"> </w:t>
      </w:r>
      <w:r>
        <w:rPr>
          <w:u w:val="single"/>
        </w:rPr>
        <w:t xml:space="preserve">(6)(a) From October 1, 2017, through December 31, 2019, the exemption provided by this section does not apply to: (i)</w:t>
      </w:r>
      <w:r>
        <w:rPr/>
        <w:t xml:space="preserve"> Machinery and equipment that is used directly in the generation of electricity using solar energy and capable of generating no more than five hundred kilowatts of electricity; or </w:t>
      </w:r>
      <w:r>
        <w:t>((</w:t>
      </w:r>
      <w:r>
        <w:rPr>
          <w:strike/>
        </w:rPr>
        <w:t xml:space="preserve">(b)</w:t>
      </w:r>
      <w:r>
        <w:t>))</w:t>
      </w:r>
      <w:r>
        <w:rPr/>
        <w:t xml:space="preserve"> </w:t>
      </w:r>
      <w:r>
        <w:rPr>
          <w:u w:val="single"/>
        </w:rPr>
        <w:t xml:space="preserve">(ii)</w:t>
      </w:r>
      <w:r>
        <w:rPr/>
        <w:t xml:space="preserve"> sales of or charges made for labor and services rendered in respect to installing such machinery and equipment.</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more than one hundred kilowatts but no more than five hundred kilowatts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rPr>
          <w:u w:val="single"/>
        </w:rPr>
        <w:t xml:space="preserve">(c) The exemption provided by this section is reinstated for machinery and equipment for solar energy systems capable of generating no more than one hundred kilowatts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January 1, 2020, through December 31, 2029, the purchaser is entitled to an exemption, in the form of a remittance, under this subsection (1)(c) in an amount equal to:</w:t>
      </w:r>
      <w:r>
        <w:rPr>
          <w:u w:val="single"/>
        </w:rPr>
        <w:t xml:space="preserve">(i) Fifty percent of the state and local use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but no more than five hundred kilowatts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w:t>
      </w:r>
    </w:p>
    <w:p>
      <w:pPr>
        <w:spacing w:before="0" w:after="0" w:line="408" w:lineRule="exact"/>
        <w:ind w:left="0" w:right="0" w:firstLine="576"/>
        <w:jc w:val="left"/>
      </w:pPr>
      <w:r>
        <w:rPr>
          <w:u w:val="single"/>
        </w:rPr>
        <w:t xml:space="preserve">(ii) Seventy-five percent of the state and local use tax paid, if the department of labor and industries certifies that the project complies with (c)(i)(A) and (B)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u w:val="single"/>
        </w:rPr>
        <w:t xml:space="preserve">(iii) One hundred percent of the state and local use tax paid, if the department of labor and industries certifies that the project is developed under a community workforce agreement or project labor agreement.</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January 1, 2020, and through December 31, 2029, the purchaser is entitled to an exemption under this subsection (1)(e) in an amount equal to one hundred percent of the state and local use tax paid, if the exempt purchase is for machinery and equipment that is used directly in the generation of electricity by a solar energy system that is capable of generating no more than one hundred kilowatts of electricity, or labor and services rendered in respect to installing such machinery and equipment, and the purchaser meets the following requirements:</w:t>
      </w:r>
    </w:p>
    <w:p>
      <w:pPr>
        <w:spacing w:before="0" w:after="0" w:line="408" w:lineRule="exact"/>
        <w:ind w:left="0" w:right="0" w:firstLine="576"/>
        <w:jc w:val="left"/>
      </w:pPr>
      <w:r>
        <w:rPr>
          <w:u w:val="single"/>
        </w:rPr>
        <w:t xml:space="preserve">(i) The purchaser has obtained a certificate of registration in compliance with chapter 18.27 RCW;</w:t>
      </w:r>
    </w:p>
    <w:p>
      <w:pPr>
        <w:spacing w:before="0" w:after="0" w:line="408" w:lineRule="exact"/>
        <w:ind w:left="0" w:right="0" w:firstLine="576"/>
        <w:jc w:val="left"/>
      </w:pPr>
      <w:r>
        <w:rPr>
          <w:u w:val="single"/>
        </w:rPr>
        <w:t xml:space="preserve">(ii) The purchaser has obtained a current state unified business identifier number;</w:t>
      </w:r>
    </w:p>
    <w:p>
      <w:pPr>
        <w:spacing w:before="0" w:after="0" w:line="408" w:lineRule="exact"/>
        <w:ind w:left="0" w:right="0" w:firstLine="576"/>
        <w:jc w:val="left"/>
      </w:pPr>
      <w:r>
        <w:rPr>
          <w:u w:val="single"/>
        </w:rPr>
        <w:t xml:space="preserve">(iii) The purchaser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The purchaser has a history of compliance with federal and state wage and hour laws and regulations.</w:t>
      </w:r>
    </w:p>
    <w:p>
      <w:pPr>
        <w:spacing w:before="0" w:after="0" w:line="408" w:lineRule="exact"/>
        <w:ind w:left="0" w:right="0" w:firstLine="576"/>
        <w:jc w:val="left"/>
      </w:pPr>
      <w:r>
        <w:rPr>
          <w:u w:val="single"/>
        </w:rPr>
        <w:t xml:space="preserve">(f) In order to qualify for the exemption under (e)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w:t>
      </w:r>
      <w:r>
        <w:rPr>
          <w:u w:val="single"/>
        </w:rPr>
        <w:t xml:space="preserve">and (c)</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xml:space="preserve">, and before January 1, 2020</w:t>
      </w:r>
      <w:r>
        <w:rPr/>
        <w:t xml:space="preserve">;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u w:val="single"/>
        </w:rPr>
        <w:t xml:space="preserve">(a) The exemption provided by this section is reinstated for machinery and equipment for solar energy systems capable of generating more than one hundred kilowatts but no more than five hundred kilowatts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no more than one hundred kilowatts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implementation plan pursuant to RCW 19.280.030(1)(l), or selected in the electrical company's solicitation of bids for delivering electric capacity, energy, capacity and energy, or conservation. The deferral in this subsection begins with the date on which the resource begins commercial operation or the effective date of the power purchase agreement and continues for a period not to exceed twenty-four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 which would be multiplied by the operating expense incurred by the electrical company under the power purchase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28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2022.</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27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w:t>
      </w:r>
      <w:r>
        <w:t>((</w:t>
      </w:r>
      <w:r>
        <w:rPr>
          <w:strike/>
        </w:rPr>
        <w:t xml:space="preserve">at least</w:t>
      </w:r>
      <w:r>
        <w:t>))</w:t>
      </w:r>
      <w:r>
        <w:rPr/>
        <w:t xml:space="preserve">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t>((</w:t>
      </w:r>
      <w:r>
        <w:rPr>
          <w:strike/>
        </w:rPr>
        <w:t xml:space="preserve">The requirements of this section may be met for any given year with renewable energy credits produced during that year, the preceding year, or the subsequent year. Each renewable energy credit may be used only once to meet the requirements of this section</w:t>
      </w:r>
      <w:r>
        <w:t>))</w:t>
      </w:r>
      <w:r>
        <w:rPr/>
        <w:t xml:space="preserve"> </w:t>
      </w:r>
      <w:r>
        <w:rPr>
          <w:u w:val="single"/>
        </w:rPr>
        <w:t xml:space="preserve">A qualifying utility may use renewable energy credits to meet the requirements of this section, subject to the limitations of this subsection.</w:t>
      </w:r>
    </w:p>
    <w:p>
      <w:pPr>
        <w:spacing w:before="0" w:after="0" w:line="408" w:lineRule="exact"/>
        <w:ind w:left="0" w:right="0" w:firstLine="576"/>
        <w:jc w:val="left"/>
      </w:pPr>
      <w:r>
        <w:rPr>
          <w:u w:val="single"/>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u w:val="single"/>
        </w:rPr>
        <w:t xml:space="preserve">(ii) A renewable energy credit from electricity generated by freshwater:</w:t>
      </w:r>
    </w:p>
    <w:p>
      <w:pPr>
        <w:spacing w:before="0" w:after="0" w:line="408" w:lineRule="exact"/>
        <w:ind w:left="0" w:right="0" w:firstLine="576"/>
        <w:jc w:val="left"/>
      </w:pPr>
      <w:r>
        <w:rPr>
          <w:u w:val="single"/>
        </w:rPr>
        <w:t xml:space="preserve">(A) May only be used to meet a requirement applicable to the year in which the credit was created; and</w:t>
      </w:r>
    </w:p>
    <w:p>
      <w:pPr>
        <w:spacing w:before="0" w:after="0" w:line="408" w:lineRule="exact"/>
        <w:ind w:left="0" w:right="0" w:firstLine="576"/>
        <w:jc w:val="left"/>
      </w:pPr>
      <w:r>
        <w:rPr>
          <w:u w:val="singl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u w:val="singl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u w:val="single"/>
        </w:rPr>
        <w:t xml:space="preserve">(iv) Each renewable energy credit may only be used once to meet the requirements of this section and must be retired using procedures of the renewable energy credit tracking system</w:t>
      </w:r>
      <w:r>
        <w:rPr/>
        <w:t xml:space="preserve">.</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w:t>
      </w:r>
    </w:p>
    <w:p>
      <w:pPr>
        <w:spacing w:before="0" w:after="0" w:line="408" w:lineRule="exact"/>
        <w:ind w:left="0" w:right="0" w:firstLine="576"/>
        <w:jc w:val="left"/>
      </w:pPr>
      <w:r>
        <w:rPr/>
        <w:t xml:space="preserve">Amends the Greenhouse Gas Neutral Standard to implement multiyear compliance periods, rather than an annual compliance requirement;</w:t>
      </w:r>
    </w:p>
    <w:p>
      <w:pPr>
        <w:spacing w:before="0" w:after="0" w:line="408" w:lineRule="exact"/>
        <w:ind w:left="0" w:right="0" w:firstLine="576"/>
        <w:jc w:val="left"/>
      </w:pPr>
      <w:r>
        <w:rPr/>
        <w:t xml:space="preserve">Provides for early action compliance credits for certain multistate electric utilities under the Greenhouse Gas Neutral Standard;</w:t>
      </w:r>
    </w:p>
    <w:p>
      <w:pPr>
        <w:spacing w:before="0" w:after="0" w:line="408" w:lineRule="exact"/>
        <w:ind w:left="0" w:right="0" w:firstLine="576"/>
        <w:jc w:val="left"/>
      </w:pPr>
      <w:r>
        <w:rPr/>
        <w:t xml:space="preserve">Requires each electric utility to demonstrate its compliance with the Clean Energy Standard by January 1, 2045, and each year thereafter using a combination of nonemitting electric generation and electricity from renewable resources;</w:t>
      </w:r>
    </w:p>
    <w:p>
      <w:pPr>
        <w:spacing w:before="0" w:after="0" w:line="408" w:lineRule="exact"/>
        <w:ind w:left="0" w:right="0" w:firstLine="576"/>
        <w:jc w:val="left"/>
      </w:pPr>
      <w:r>
        <w:rPr/>
        <w:t xml:space="preserve">Makes changes to provisions relating to the condemnation of certain energy assets; and</w:t>
      </w:r>
    </w:p>
    <w:p>
      <w:pPr>
        <w:spacing w:before="0" w:after="0" w:line="408" w:lineRule="exact"/>
        <w:ind w:left="0" w:right="0" w:firstLine="576"/>
        <w:jc w:val="left"/>
      </w:pPr>
      <w:r>
        <w:rPr/>
        <w:t xml:space="preserve">Reinstates an expired sales and use tax preference for solar energy systems under 500 kilowatts in size.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5eb1ebc164286" /></Relationships>
</file>