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2ee12799354b4b" /></Relationships>
</file>

<file path=word/document.xml><?xml version="1.0" encoding="utf-8"?>
<w:document xmlns:w="http://schemas.openxmlformats.org/wordprocessingml/2006/main">
  <w:body>
    <w:p>
      <w:r>
        <w:rPr>
          <w:b/>
        </w:rPr>
        <w:r>
          <w:rPr/>
          <w:t xml:space="preserve">5181-S</w:t>
        </w:r>
      </w:r>
      <w:r>
        <w:rPr>
          <w:b/>
        </w:rPr>
        <w:t xml:space="preserve"> </w:t>
        <w:t xml:space="preserve">AMH</w:t>
      </w:r>
      <w:r>
        <w:rPr>
          <w:b/>
        </w:rPr>
        <w:t xml:space="preserve"> </w:t>
        <w:r>
          <w:rPr/>
          <w:t xml:space="preserve">APP</w:t>
        </w:r>
      </w:r>
      <w:r>
        <w:rPr>
          <w:b/>
        </w:rPr>
        <w:t xml:space="preserve"> </w:t>
        <w:r>
          <w:rPr/>
          <w:t xml:space="preserve">H2814.1</w:t>
        </w:r>
      </w:r>
      <w:r>
        <w:rPr>
          <w:b/>
        </w:rPr>
        <w:t xml:space="preserve"> - NOT FOR FLOOR USE</w:t>
      </w:r>
    </w:p>
    <w:p>
      <w:pPr>
        <w:ind w:left="0" w:right="0" w:firstLine="576"/>
      </w:pPr>
    </w:p>
    <w:p>
      <w:pPr>
        <w:spacing w:before="480" w:after="0" w:line="408" w:lineRule="exact"/>
      </w:pPr>
      <w:r>
        <w:rPr>
          <w:b/>
          <w:u w:val="single"/>
        </w:rPr>
        <w:t xml:space="preserve">SSB 5181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04/10/2019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person who under RCW 71.05.150 or 71.05.153 has been detained at a facility for seventy-two-hour evaluation and treatment on the grounds that the person presents a likelihood of serious harm, but who has not been subsequently committed for involuntary treatment under RCW 71.05.240, may not have in his or her possession or control any firearm for a period of six months after the date that the person is detained.</w:t>
      </w:r>
    </w:p>
    <w:p>
      <w:pPr>
        <w:spacing w:before="0" w:after="0" w:line="408" w:lineRule="exact"/>
        <w:ind w:left="0" w:right="0" w:firstLine="576"/>
        <w:jc w:val="left"/>
      </w:pPr>
      <w:r>
        <w:rPr/>
        <w:t xml:space="preserve">(2) Before the discharge of a person who has been initially detained under RCW 71.05.150 or 71.05.153 on the grounds that the person presents a likelihood of serious harm, but has not been subsequently committed for involuntary treatment under RCW 71.05.240, the designated crisis responder shall inform the person orally and in writing that:</w:t>
      </w:r>
    </w:p>
    <w:p>
      <w:pPr>
        <w:spacing w:before="0" w:after="0" w:line="408" w:lineRule="exact"/>
        <w:ind w:left="0" w:right="0" w:firstLine="576"/>
        <w:jc w:val="left"/>
      </w:pPr>
      <w:r>
        <w:rPr/>
        <w:t xml:space="preserve">(a) He or she is prohibited from possessing or controlling any firearm for a period of six months;</w:t>
      </w:r>
    </w:p>
    <w:p>
      <w:pPr>
        <w:spacing w:before="0" w:after="0" w:line="408" w:lineRule="exact"/>
        <w:ind w:left="0" w:right="0" w:firstLine="576"/>
        <w:jc w:val="left"/>
      </w:pPr>
      <w:r>
        <w:rPr/>
        <w:t xml:space="preserve">(b) He or she must immediately surrender, for the six-month period, any concealed pistol license and any firearms that the person possesses or controls to the sheriff of the county or the chief of police of the municipality in which the person is domiciled;</w:t>
      </w:r>
    </w:p>
    <w:p>
      <w:pPr>
        <w:spacing w:before="0" w:after="0" w:line="408" w:lineRule="exact"/>
        <w:ind w:left="0" w:right="0" w:firstLine="576"/>
        <w:jc w:val="left"/>
      </w:pPr>
      <w:r>
        <w:rPr/>
        <w:t xml:space="preserve">(c) After the six-month suspension, the person's right to control or possess any firearm or concealed pistol license shall be automatically restored, absent further restrictions imposed by other law; and</w:t>
      </w:r>
    </w:p>
    <w:p>
      <w:pPr>
        <w:spacing w:before="0" w:after="0" w:line="408" w:lineRule="exact"/>
        <w:ind w:left="0" w:right="0" w:firstLine="576"/>
        <w:jc w:val="left"/>
      </w:pPr>
      <w:r>
        <w:rPr/>
        <w:t xml:space="preserve">(d) Upon discharge, the person may petition the superior court to have his or her right to possess a firearm restored before the six-month suspension period has elapsed by following the procedures provided in RCW 9.41.047(3).</w:t>
      </w:r>
    </w:p>
    <w:p>
      <w:pPr>
        <w:spacing w:before="0" w:after="0" w:line="408" w:lineRule="exact"/>
        <w:ind w:left="0" w:right="0" w:firstLine="576"/>
        <w:jc w:val="left"/>
      </w:pPr>
      <w:r>
        <w:rPr/>
        <w:t xml:space="preserve">(3)(a) A law enforcement agency holding any firearm that has been surrendered pursuant to this section shall, upon the request of the person from whom it was obtained, return the firearm at the expiration of the six-month suspension period, or prior to the expiration of the six-month period if the person's right to possess firearms has been restored by the court under RCW 9.41.047. The law enforcement agency must comply with the provisions of RCW 9.41.345 when returning a firearm pursuant to this section.</w:t>
      </w:r>
    </w:p>
    <w:p>
      <w:pPr>
        <w:spacing w:before="0" w:after="0" w:line="408" w:lineRule="exact"/>
        <w:ind w:left="0" w:right="0" w:firstLine="576"/>
        <w:jc w:val="left"/>
      </w:pPr>
      <w:r>
        <w:rPr/>
        <w:t xml:space="preserve">(b) Any firearm surrendered pursuant to this section that remains unclaimed by the lawful owner shall be disposed of in accordance with the law enforcement agency's policies and procedures for the disposal of firearms in police custody.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When a designated crisis responder files a petition for initial detention under RCW 71.05.150 or 71.05.153 on the grounds that the person presents a likelihood of serious harm, the petition shall include a copy of the person's driver's license or identicard or comparable information. If the person is not subsequently committed for involuntary treatment under RCW 71.05.240, the court shall forward within three business days of the probable cause hearing a copy of the person's driver's license or identicard, or comparable information, along with the date of release from the facility, to the department of licensing and to the state patrol, who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section 1 of this act, the Washington state patrol shall forward to the national instant criminal background check system index, denied persons file, notice that the person's right to possess a firearm has been restored.</w:t>
      </w:r>
    </w:p>
    <w:p>
      <w:pPr>
        <w:spacing w:before="0" w:after="0" w:line="408" w:lineRule="exact"/>
        <w:ind w:left="0" w:right="0" w:firstLine="576"/>
        <w:jc w:val="left"/>
      </w:pPr>
      <w:r>
        <w:rPr/>
        <w:t xml:space="preserve">(2)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2018 c 201 s 6001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w:t>
      </w:r>
      <w:r>
        <w:rPr>
          <w:u w:val="single"/>
        </w:rPr>
        <w:t xml:space="preserve">, or by reason of having been detained under RCW 71.05.150 or 71.05.153,</w:t>
      </w:r>
      <w:r>
        <w:rPr/>
        <w:t xml:space="preserve">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w:t>
      </w:r>
      <w:r>
        <w:rPr>
          <w:u w:val="single"/>
        </w:rPr>
        <w:t xml:space="preserve">and (e)</w:t>
      </w:r>
      <w:r>
        <w:rPr/>
        <w:t xml:space="preserve">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 </w:t>
      </w:r>
      <w:r>
        <w:rPr>
          <w:u w:val="single"/>
        </w:rPr>
        <w:t xml:space="preserve">or detention</w:t>
      </w:r>
      <w:r>
        <w:rPr/>
        <w:t xml:space="preserve">;</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w:t>
      </w:r>
      <w:r>
        <w:rPr>
          <w:u w:val="single"/>
        </w:rPr>
        <w:t xml:space="preserve">or detention</w:t>
      </w:r>
      <w:r>
        <w:rPr/>
        <w:t xml:space="preserve">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t>
      </w:r>
      <w:r>
        <w:rPr>
          <w:u w:val="single"/>
        </w:rPr>
        <w:t xml:space="preserve">If the petitioner seeks restoration after having been detained under RCW 71.05.150 or 71.05.153, the state shall bear the burden of proof to show, by a preponderance of the evidence, that the petitioner does not meet the restoration criteria in (c) of this subsection.</w:t>
      </w:r>
    </w:p>
    <w:p>
      <w:pPr>
        <w:spacing w:before="0" w:after="0" w:line="408" w:lineRule="exact"/>
        <w:ind w:left="0" w:right="0" w:firstLine="576"/>
        <w:jc w:val="left"/>
      </w:pPr>
      <w:r>
        <w:rPr>
          <w:u w:val="single"/>
        </w:rPr>
        <w:t xml:space="preserve">(f)</w:t>
      </w:r>
      <w:r>
        <w:rPr/>
        <w:t xml:space="preserv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health care authority, and the national instant criminal background check system index, denied persons file. </w:t>
      </w:r>
      <w:r>
        <w:rPr>
          <w:u w:val="single"/>
        </w:rPr>
        <w:t xml:space="preserve">In the case of a person whose right to possess a firearm has been suspended for six months as provided in section 1 of this act, the department of licensing shall forward notification of the restoration order to the licensing authority, which, upon receipt of such notification, shall immediately lift the suspension, restoring the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a null and void clause. The bill is null and void unless funded in the budget.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c66037ae5c4d04" /></Relationships>
</file>