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ce88368cd4aa8" /></Relationships>
</file>

<file path=word/document.xml><?xml version="1.0" encoding="utf-8"?>
<w:document xmlns:w="http://schemas.openxmlformats.org/wordprocessingml/2006/main">
  <w:body>
    <w:p>
      <w:r>
        <w:rPr>
          <w:b/>
        </w:rPr>
        <w:r>
          <w:rPr/>
          <w:t xml:space="preserve">5290-S2.E</w:t>
        </w:r>
      </w:r>
      <w:r>
        <w:rPr>
          <w:b/>
        </w:rPr>
        <w:t xml:space="preserve"> </w:t>
        <w:t xml:space="preserve">AMH</w:t>
      </w:r>
      <w:r>
        <w:rPr>
          <w:b/>
        </w:rPr>
        <w:t xml:space="preserve"> </w:t>
        <w:r>
          <w:rPr/>
          <w:t xml:space="preserve">ENGR</w:t>
        </w:r>
      </w:r>
      <w:r>
        <w:rPr>
          <w:b/>
        </w:rPr>
        <w:t xml:space="preserve"> </w:t>
        <w:r>
          <w:rPr/>
          <w:t xml:space="preserve">H2423.E</w:t>
        </w:r>
      </w:r>
      <w:r>
        <w:rPr>
          <w:b/>
        </w:rPr>
        <w:t xml:space="preserve"> - NOT FOR FLOOR USE</w:t>
      </w:r>
    </w:p>
    <w:p>
      <w:pPr>
        <w:ind w:left="0" w:right="0" w:firstLine="576"/>
      </w:pPr>
    </w:p>
    <w:p>
      <w:pPr>
        <w:spacing w:before="480" w:after="0" w:line="408" w:lineRule="exact"/>
      </w:pPr>
      <w:r>
        <w:rPr>
          <w:b/>
          <w:u w:val="single"/>
        </w:rPr>
        <w:t xml:space="preserve">E2SSB 5290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ADOPTED AND ENGROSSED 4/9/19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 As of July 1, 2019, such youth may not be committed to juvenile detention as a contempt sanction under chapter 13.32A, 13.34, or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2022.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2022,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0" w:after="0" w:line="408" w:lineRule="exact"/>
        <w:ind w:left="0" w:right="0" w:firstLine="576"/>
        <w:jc w:val="left"/>
      </w:pPr>
      <w:r>
        <w:rPr/>
        <w:t xml:space="preserve">(c) After July 1, 2022, at-risk youth may be committed to a secure residential program with intensive wraparound services, subject to the requirements under RCW 13.32A.250, as a remedial sanction for contempt under chapter 13.32A RCW or for failure to appear at a court hearing under chapter 13.32A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w:t>
      </w:r>
      <w:r>
        <w:rPr>
          <w:u w:val="single"/>
        </w:rPr>
        <w:t xml:space="preserve">(i)</w:t>
      </w:r>
      <w:r>
        <w:rPr/>
        <w:t xml:space="preserve">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 and 28A.225</w:t>
      </w:r>
      <w:r>
        <w:t>))</w:t>
      </w:r>
      <w:r>
        <w:rPr/>
        <w:t xml:space="preserve"> RCW </w:t>
      </w:r>
      <w:r>
        <w:rPr>
          <w:u w:val="single"/>
        </w:rPr>
        <w:t xml:space="preserve">and subject to the requirements under RCW 13.32A.250</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u w:val="single"/>
        </w:rPr>
        <w:t xml:space="preserve">(ii) Until July 1, 2022, prior to committing any at-risk youth to juvenile detention as a sanction for contempt under chapter 13.32A RCW, or for failure to appear at a court hearing under chapter 13.32A RCW, the court must:</w:t>
      </w:r>
    </w:p>
    <w:p>
      <w:pPr>
        <w:spacing w:before="0" w:after="0" w:line="408" w:lineRule="exact"/>
        <w:ind w:left="0" w:right="0" w:firstLine="576"/>
        <w:jc w:val="left"/>
      </w:pPr>
      <w:r>
        <w:rPr>
          <w:u w:val="single"/>
        </w:rPr>
        <w:t xml:space="preserve">(A) Consider, on-the-record, the mitigating and aggravating factors used to determine the appropriateness of detention for enforcement of its order;</w:t>
      </w:r>
    </w:p>
    <w:p>
      <w:pPr>
        <w:spacing w:before="0" w:after="0" w:line="408" w:lineRule="exact"/>
        <w:ind w:left="0" w:right="0" w:firstLine="576"/>
        <w:jc w:val="left"/>
      </w:pPr>
      <w:r>
        <w:rPr>
          <w:u w:val="single"/>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u w:val="single"/>
        </w:rPr>
        <w:t xml:space="preserve">(C) Afford the same due process considerations that it affords all youth in criminal contempt proceedings; and</w:t>
      </w:r>
    </w:p>
    <w:p>
      <w:pPr>
        <w:spacing w:before="0" w:after="0" w:line="408" w:lineRule="exact"/>
        <w:ind w:left="0" w:right="0" w:firstLine="576"/>
        <w:jc w:val="left"/>
      </w:pPr>
      <w:r>
        <w:rPr>
          <w:u w:val="single"/>
        </w:rPr>
        <w:t xml:space="preserve">(D) Seek input from all relevant parties, including the youth.</w:t>
      </w:r>
    </w:p>
    <w:p>
      <w:pPr>
        <w:spacing w:before="0" w:after="0" w:line="408" w:lineRule="exact"/>
        <w:ind w:left="0" w:right="0" w:firstLine="576"/>
        <w:jc w:val="left"/>
      </w:pPr>
      <w:r>
        <w:rPr>
          <w:u w:val="single"/>
        </w:rPr>
        <w:t xml:space="preserve">(iii) Until July 1, 2022, detention periods for at-risk youth sanctioned to juvenile detention for contempt under chapter 13.32A RCW, or for failure to appear at a court hearing under chapter 13.32A RCW, shall be:</w:t>
      </w:r>
    </w:p>
    <w:p>
      <w:pPr>
        <w:spacing w:before="0" w:after="0" w:line="408" w:lineRule="exact"/>
        <w:ind w:left="0" w:right="0" w:firstLine="576"/>
        <w:jc w:val="left"/>
      </w:pPr>
      <w:r>
        <w:rPr>
          <w:u w:val="single"/>
        </w:rPr>
        <w:t xml:space="preserve">(A) No more than seventy-two hours, regardless of the number of violations being considered at the hearing; and</w:t>
      </w:r>
    </w:p>
    <w:p>
      <w:pPr>
        <w:spacing w:before="0" w:after="0" w:line="408" w:lineRule="exact"/>
        <w:ind w:left="0" w:right="0" w:firstLine="576"/>
        <w:jc w:val="left"/>
      </w:pPr>
      <w:r>
        <w:rPr>
          <w:u w:val="single"/>
        </w:rPr>
        <w:t xml:space="preserve">(B) Limited to no more than two sanctions, up to seventy-two hours each, in any thirty-day period.</w:t>
      </w:r>
    </w:p>
    <w:p>
      <w:pPr>
        <w:spacing w:before="0" w:after="0" w:line="408" w:lineRule="exact"/>
        <w:ind w:left="0" w:right="0" w:firstLine="576"/>
        <w:jc w:val="left"/>
      </w:pPr>
      <w:r>
        <w:rPr>
          <w:u w:val="single"/>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w:t>
      </w:r>
      <w:r>
        <w:rPr>
          <w:u w:val="single"/>
        </w:rPr>
        <w:t xml:space="preserve">,</w:t>
      </w:r>
      <w:r>
        <w:rPr/>
        <w:t xml:space="preserve"> and subject to the requirements under RCW 13.32A.250, commitment to </w:t>
      </w:r>
      <w:r>
        <w:t>((</w:t>
      </w:r>
      <w:r>
        <w:rPr>
          <w:strike/>
        </w:rPr>
        <w:t xml:space="preserve">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r>
        <w:t>))</w:t>
      </w:r>
      <w:r>
        <w:rPr/>
        <w:t xml:space="preserve"> </w:t>
      </w:r>
      <w:r>
        <w:rPr>
          <w:u w:val="single"/>
        </w:rPr>
        <w:t xml:space="preserve">a secure residential program with intensive wraparound services</w:t>
      </w:r>
      <w:r>
        <w:rPr/>
        <w:t xml:space="preserve">.</w:t>
      </w:r>
    </w:p>
    <w:p>
      <w:pPr>
        <w:spacing w:before="0" w:after="0" w:line="408" w:lineRule="exact"/>
        <w:ind w:left="0" w:right="0" w:firstLine="576"/>
        <w:jc w:val="left"/>
      </w:pPr>
      <w:r>
        <w:rPr/>
        <w:t xml:space="preserve">(ii) </w:t>
      </w:r>
      <w:r>
        <w:t>((</w:t>
      </w:r>
      <w:r>
        <w:rPr>
          <w:strike/>
        </w:rPr>
        <w:t xml:space="preserve">Until</w:t>
      </w:r>
      <w:r>
        <w:t>))</w:t>
      </w:r>
      <w:r>
        <w:rPr/>
        <w:t xml:space="preserve"> </w:t>
      </w:r>
      <w:r>
        <w:rPr>
          <w:u w:val="single"/>
        </w:rPr>
        <w:t xml:space="preserve">Beginning</w:t>
      </w:r>
      <w:r>
        <w:rPr/>
        <w:t xml:space="preserve"> July 1, 2022, prior to committing any at-risk youth to </w:t>
      </w:r>
      <w:r>
        <w:t>((</w:t>
      </w:r>
      <w:r>
        <w:rPr>
          <w:strike/>
        </w:rPr>
        <w:t xml:space="preserve">juvenile detention</w:t>
      </w:r>
      <w:r>
        <w:t>))</w:t>
      </w:r>
      <w:r>
        <w:rPr/>
        <w:t xml:space="preserve"> </w:t>
      </w:r>
      <w:r>
        <w:rPr>
          <w:u w:val="single"/>
        </w:rPr>
        <w:t xml:space="preserve">a secure residential program with intensive wraparound services</w:t>
      </w:r>
      <w:r>
        <w:rPr/>
        <w:t xml:space="preserve"> as a sanction for contempt under chapter 13.32A RCW, or for failure to appear at a court hearing under chapter 13.32A RCW, the court must:</w:t>
      </w:r>
    </w:p>
    <w:p>
      <w:pPr>
        <w:spacing w:before="0" w:after="0" w:line="408" w:lineRule="exact"/>
        <w:ind w:left="0" w:right="0" w:firstLine="576"/>
        <w:jc w:val="left"/>
      </w:pPr>
      <w:r>
        <w:rPr/>
        <w:t xml:space="preserve">(A) Consider, on-the-record,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w:t>
      </w:r>
      <w:r>
        <w:t>((</w:t>
      </w:r>
      <w:r>
        <w:rPr>
          <w:strike/>
        </w:rPr>
        <w:t xml:space="preserve">Until July 1, 2022, detention periods for at-risk youth sanctioned to juvenile detention for contempt under chapter 13.32A RCW, or for failure to appear at a court hearing under chapter 13.32A RCW, shall be:</w:t>
      </w:r>
    </w:p>
    <w:p>
      <w:pPr>
        <w:spacing w:before="0" w:after="0" w:line="408" w:lineRule="exact"/>
        <w:ind w:left="0" w:right="0" w:firstLine="576"/>
        <w:jc w:val="left"/>
      </w:pPr>
      <w:r>
        <w:rPr>
          <w:strike/>
        </w:rPr>
        <w:t xml:space="preserve">(A) No more than seventy-two hours, regardless of the number of violations being considered at the hearing; and</w:t>
      </w:r>
    </w:p>
    <w:p>
      <w:pPr>
        <w:spacing w:before="0" w:after="0" w:line="408" w:lineRule="exact"/>
        <w:ind w:left="0" w:right="0" w:firstLine="576"/>
        <w:jc w:val="left"/>
      </w:pPr>
      <w:r>
        <w:rPr>
          <w:strike/>
        </w:rPr>
        <w:t xml:space="preserve">(B) Limited to no more than two sanctions, up to seventy-two hours each, in any thirty-day period.</w:t>
      </w:r>
    </w:p>
    <w:p>
      <w:pPr>
        <w:spacing w:before="0" w:after="0" w:line="408" w:lineRule="exact"/>
        <w:ind w:left="0" w:right="0" w:firstLine="576"/>
        <w:jc w:val="left"/>
      </w:pPr>
      <w:r>
        <w:rPr>
          <w:strike/>
        </w:rPr>
        <w:t xml:space="preserve">(iv)</w:t>
      </w:r>
      <w:r>
        <w:t>))</w:t>
      </w:r>
      <w:r>
        <w:rPr/>
        <w:t xml:space="preserve">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w:t>
      </w:r>
      <w:r>
        <w:rPr>
          <w:u w:val="single"/>
        </w:rPr>
        <w:t xml:space="preserve">and the possible consequences thereof, including confinement when applicable</w:t>
      </w:r>
      <w:r>
        <w:rPr/>
        <w:t xml:space="preserv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Residential and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(b)(i)</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(ii)</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(c) A child involved in a child in need of services proceeding may not be placed in confinement under this section.</w:t>
      </w:r>
    </w:p>
    <w:p>
      <w:pPr>
        <w:spacing w:before="0" w:after="0" w:line="408" w:lineRule="exact"/>
        <w:ind w:left="0" w:right="0" w:firstLine="576"/>
        <w:jc w:val="left"/>
      </w:pP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5 (section 5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and the possible consequences thereof, including confinement when applicable.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in an at-risk youth proceeding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For at-risk youth proceedings only:</w:t>
      </w:r>
    </w:p>
    <w:p>
      <w:pPr>
        <w:spacing w:before="0" w:after="0" w:line="408" w:lineRule="exact"/>
        <w:ind w:left="0" w:right="0" w:firstLine="576"/>
        <w:jc w:val="left"/>
      </w:pPr>
      <w:r>
        <w:rPr/>
        <w:t xml:space="preserve">(a)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Residential and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(b)(i) The court may impose remedial sanctions including a fine of up to one hundred dollars and confinement </w:t>
      </w:r>
      <w:r>
        <w:t>((</w:t>
      </w:r>
      <w:r>
        <w:rPr>
          <w:strike/>
        </w:rPr>
        <w:t xml:space="preserve">for up to seventy-two hours</w:t>
      </w:r>
      <w:r>
        <w:t>))</w:t>
      </w:r>
      <w:r>
        <w:rPr/>
        <w:t xml:space="preserve"> </w:t>
      </w:r>
      <w:r>
        <w:rPr>
          <w:u w:val="single"/>
        </w:rPr>
        <w:t xml:space="preserve">to a secure residential program with intensive wraparound services</w:t>
      </w:r>
      <w:r>
        <w:rPr/>
        <w:t xml:space="preserve">, or both</w:t>
      </w:r>
      <w:r>
        <w:rPr>
          <w:u w:val="single"/>
        </w:rPr>
        <w:t xml:space="preserve">,</w:t>
      </w:r>
      <w:r>
        <w:rPr/>
        <w:t xml:space="preserve">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w:t>
      </w:r>
      <w:r>
        <w:t>((</w:t>
      </w:r>
      <w:r>
        <w:rPr>
          <w:strike/>
        </w:rPr>
        <w:t xml:space="preserve">The seventy-two hour period excludes Saturdays, Sundays, and holidays and shall commence upon the next nonholiday weekday following the court order and shall run to the end of the last nonholiday weekday within the seventy-two hour period.</w:t>
      </w:r>
      <w:r>
        <w:t>))</w:t>
      </w:r>
    </w:p>
    <w:p>
      <w:pPr>
        <w:spacing w:before="0" w:after="0" w:line="408" w:lineRule="exact"/>
        <w:ind w:left="0" w:right="0" w:firstLine="576"/>
        <w:jc w:val="left"/>
      </w:pPr>
      <w:r>
        <w:rPr/>
        <w:t xml:space="preserve">(ii) A child placed in confinement for contempt under this section </w:t>
      </w:r>
      <w:r>
        <w:t>((</w:t>
      </w:r>
      <w:r>
        <w:rPr>
          <w:strike/>
        </w:rPr>
        <w:t xml:space="preserve">shall</w:t>
      </w:r>
      <w:r>
        <w:t>))</w:t>
      </w:r>
      <w:r>
        <w:rPr/>
        <w:t xml:space="preserve"> </w:t>
      </w:r>
      <w:r>
        <w:rPr>
          <w:u w:val="single"/>
        </w:rPr>
        <w:t xml:space="preserve">may</w:t>
      </w:r>
      <w:r>
        <w:rPr/>
        <w:t xml:space="preserve"> be placed in </w:t>
      </w:r>
      <w:r>
        <w:t>((</w:t>
      </w:r>
      <w:r>
        <w:rPr>
          <w:strike/>
        </w:rPr>
        <w:t xml:space="preserve">confinement only in a secure juvenile detention facility operated by or pursuant to a contract with a county</w:t>
      </w:r>
      <w:r>
        <w:t>))</w:t>
      </w:r>
      <w:r>
        <w:rPr/>
        <w:t xml:space="preserve"> </w:t>
      </w:r>
      <w:r>
        <w:rPr>
          <w:u w:val="single"/>
        </w:rPr>
        <w:t xml:space="preserve">a secure crisis residential center as defined in RCW 13.32A.030, or any program approved by the department offering secure confinement and intensive wraparound services appropriate to the needs of the child. The child may not be placed in a detention facility as defined in RCW 13.40.020. Secure residential programs with intensive wraparound services as used in this section may be defined as secure juvenile correctional facilities for the purposes of federal law only</w:t>
      </w:r>
      <w:r>
        <w:rPr/>
        <w:t xml:space="preserve">.</w:t>
      </w:r>
    </w:p>
    <w:p>
      <w:pPr>
        <w:spacing w:before="0" w:after="0" w:line="408" w:lineRule="exact"/>
        <w:ind w:left="0" w:right="0" w:firstLine="576"/>
        <w:jc w:val="left"/>
      </w:pPr>
      <w:r>
        <w:rPr/>
        <w:t xml:space="preserve">(c) A child involved in a child in need of services proceeding may not be placed in confinement under this section.</w:t>
      </w:r>
    </w:p>
    <w:p>
      <w:pPr>
        <w:spacing w:before="0" w:after="0" w:line="408" w:lineRule="exact"/>
        <w:ind w:left="0" w:right="0" w:firstLine="576"/>
        <w:jc w:val="left"/>
      </w:pPr>
      <w:r>
        <w:rPr/>
        <w:t xml:space="preserve">(4)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p>
    <w:p>
      <w:pPr>
        <w:spacing w:before="0" w:after="0" w:line="408" w:lineRule="exact"/>
        <w:ind w:left="0" w:right="0" w:firstLine="576"/>
        <w:jc w:val="left"/>
      </w:pPr>
      <w:r>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0" w:after="0" w:line="408" w:lineRule="exact"/>
        <w:ind w:left="0" w:right="0" w:firstLine="576"/>
        <w:jc w:val="left"/>
      </w:pPr>
      <w:r>
        <w:rPr>
          <w:u w:val="single"/>
        </w:rPr>
        <w:t xml:space="preserve">(4)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w:t>
      </w:r>
      <w:r>
        <w:rPr>
          <w:u w:val="single"/>
        </w:rPr>
        <w:t xml:space="preserve">Nothing in this section shall be construed to limit the court's inherent contempt power or curtail its exercise.</w:t>
      </w:r>
    </w:p>
    <w:p>
      <w:pPr>
        <w:spacing w:before="0" w:after="0" w:line="408" w:lineRule="exact"/>
        <w:ind w:left="0" w:right="0" w:firstLine="576"/>
        <w:jc w:val="left"/>
      </w:pPr>
      <w:r>
        <w:rPr>
          <w:u w:val="single"/>
        </w:rPr>
        <w:t xml:space="preserve">(6)</w:t>
      </w:r>
      <w:r>
        <w:rPr/>
        <w:t xml:space="preserve">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w:t>
      </w:r>
      <w:r>
        <w:t>((</w:t>
      </w:r>
      <w:r>
        <w:rPr>
          <w:strike/>
        </w:rPr>
        <w:t xml:space="preserve">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 </w:t>
      </w:r>
      <w:r>
        <w:rPr>
          <w:u w:val="single"/>
        </w:rPr>
        <w:t xml:space="preserve">center</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The report must:</w:t>
      </w:r>
    </w:p>
    <w:p>
      <w:pPr>
        <w:spacing w:before="0" w:after="0" w:line="408" w:lineRule="exact"/>
        <w:ind w:left="0" w:right="0" w:firstLine="576"/>
        <w:jc w:val="left"/>
      </w:pPr>
      <w:r>
        <w:rPr>
          <w:u w:val="single"/>
        </w:rPr>
        <w:t xml:space="preserve">(a) Consider the written findings described in RCW 7.21.030(2)(e)(ii)(B), and provide an analysis of the rationale and evidence used and the less restrictive options considered;</w:t>
      </w:r>
    </w:p>
    <w:p>
      <w:pPr>
        <w:spacing w:before="0" w:after="0" w:line="408" w:lineRule="exact"/>
        <w:ind w:left="0" w:right="0" w:firstLine="576"/>
        <w:jc w:val="left"/>
      </w:pPr>
      <w:r>
        <w:rPr>
          <w:u w:val="single"/>
        </w:rPr>
        <w:t xml:space="preserve">(b) Monitor the utilization of alternatives to detention;</w:t>
      </w:r>
    </w:p>
    <w:p>
      <w:pPr>
        <w:spacing w:before="0" w:after="0" w:line="408" w:lineRule="exact"/>
        <w:ind w:left="0" w:right="0" w:firstLine="576"/>
        <w:jc w:val="left"/>
      </w:pPr>
      <w:r>
        <w:rPr>
          <w:u w:val="single"/>
        </w:rPr>
        <w:t xml:space="preserve">(c) Track trends in the use of at-risk youth petitions;</w:t>
      </w:r>
    </w:p>
    <w:p>
      <w:pPr>
        <w:spacing w:before="0" w:after="0" w:line="408" w:lineRule="exact"/>
        <w:ind w:left="0" w:right="0" w:firstLine="576"/>
        <w:jc w:val="left"/>
      </w:pPr>
      <w:r>
        <w:rPr>
          <w:u w:val="single"/>
        </w:rPr>
        <w:t xml:space="preserve">(d) Beginning July 1, 2022, track trends in the use of secure residential programs with intensive wraparound services; and</w:t>
      </w:r>
    </w:p>
    <w:p>
      <w:pPr>
        <w:spacing w:before="0" w:after="0" w:line="408" w:lineRule="exact"/>
        <w:ind w:left="0" w:right="0" w:firstLine="576"/>
        <w:jc w:val="left"/>
      </w:pPr>
      <w:r>
        <w:rPr>
          <w:u w:val="single"/>
        </w:rPr>
        <w:t xml:space="preserve">(e)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6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July 1, 2022."</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7d7bbe45744aa" /></Relationships>
</file>