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1f7edc66a745d0"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VANW</w:t>
        </w:r>
      </w:r>
      <w:r>
        <w:rPr>
          <w:b/>
        </w:rPr>
        <w:t xml:space="preserve"> </w:t>
        <w:r>
          <w:rPr/>
          <w:t xml:space="preserve">H2891.1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714</w:t>
      </w:r>
    </w:p>
    <w:p>
      <w:pPr>
        <w:spacing w:before="0" w:after="0" w:line="408" w:lineRule="exact"/>
        <w:ind w:left="0" w:right="0" w:firstLine="576"/>
        <w:jc w:val="left"/>
      </w:pPr>
      <w:r>
        <w:rPr/>
        <w:t xml:space="preserve">By Representative Van Werven</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 after "(2)" strike all material through "</w:t>
      </w:r>
      <w:r>
        <w:rPr>
          <w:strike/>
        </w:rPr>
        <w:t xml:space="preserve">(3)</w:t>
      </w:r>
      <w:r>
        <w:t>))</w:t>
      </w:r>
      <w:r>
        <w:rPr/>
        <w:t xml:space="preserve">" on line 33 and insert "If </w:t>
      </w:r>
      <w:r>
        <w:rPr>
          <w:u w:val="single"/>
        </w:rPr>
        <w:t xml:space="preserve">a person is convicted of the crime of aggravated first degree murder based on the aggravating circumstance under RCW 10.95.020(15)</w:t>
      </w:r>
      <w:r>
        <w:rPr/>
        <w:t xml:space="preserve">, </w:t>
      </w:r>
      <w:r>
        <w:t>((</w:t>
      </w:r>
      <w:r>
        <w:rPr>
          <w:strike/>
        </w:rPr>
        <w:t xml:space="preserve">pursuant to</w:t>
      </w:r>
      <w:r>
        <w:t>))</w:t>
      </w:r>
      <w:r>
        <w:rPr/>
        <w:t xml:space="preserve"> a special sentencing proceeding </w:t>
      </w:r>
      <w:r>
        <w:rPr>
          <w:u w:val="single"/>
        </w:rPr>
        <w:t xml:space="preserve">is</w:t>
      </w:r>
      <w:r>
        <w:rPr/>
        <w:t xml:space="preserve"> held under RCW 10.95.050, </w:t>
      </w:r>
      <w:r>
        <w:rPr>
          <w:u w:val="single"/>
        </w:rPr>
        <w:t xml:space="preserve">and</w:t>
      </w:r>
      <w:r>
        <w:rPr/>
        <w:t xml:space="preserve">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Beginning on page 4, line 38,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t>((</w:t>
      </w:r>
      <w:r>
        <w:rPr>
          <w:strike/>
        </w:rPr>
        <w:t xml:space="preserve">as defined by</w:t>
      </w:r>
      <w:r>
        <w:t>))</w:t>
      </w:r>
      <w:r>
        <w:rPr/>
        <w:t xml:space="preserve"> </w:t>
      </w:r>
      <w:r>
        <w:rPr>
          <w:u w:val="single"/>
        </w:rPr>
        <w:t xml:space="preserve">based on the aggravating circumstance under</w:t>
      </w:r>
      <w:r>
        <w:rPr/>
        <w:t xml:space="preserve"> RCW 10.95.020</w:t>
      </w:r>
      <w:r>
        <w:rPr>
          <w:u w:val="single"/>
        </w:rPr>
        <w:t xml:space="preserve">(15)</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based on the aggravating circumstance under RCW 10.95.020(15)</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as that term is defined in RCW 10.99.020</w:t>
      </w:r>
      <w:r>
        <w:t>((</w:t>
      </w:r>
      <w:r>
        <w:rPr>
          <w:strike/>
        </w:rPr>
        <w:t xml:space="preserve">(1)</w:t>
      </w:r>
      <w:r>
        <w:t>))</w:t>
      </w:r>
      <w:r>
        <w:rPr/>
        <w:t xml:space="preserve"> </w:t>
      </w:r>
      <w:r>
        <w:rPr>
          <w:u w:val="single"/>
        </w:rPr>
        <w:t xml:space="preserve">(3)</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r>
        <w:rPr>
          <w:u w:val="single"/>
        </w:rPr>
        <w:t xml:space="preserve">;</w:t>
      </w:r>
    </w:p>
    <w:p>
      <w:pPr>
        <w:spacing w:before="0" w:after="0" w:line="408" w:lineRule="exact"/>
        <w:ind w:left="0" w:right="0" w:firstLine="576"/>
        <w:jc w:val="left"/>
      </w:pPr>
      <w:r>
        <w:rPr>
          <w:u w:val="single"/>
        </w:rPr>
        <w:t xml:space="preserve">(15) The murder was committed on the premises of a public or private school of any grades kindergarten through twelve or institution of higher education</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Expands the definition of aggravated first degree murder to include premeditated first degree murder committed on the premises of a public or private school of any grades kindergarten through twelve (K-12 school) or institution of higher education.</w:t>
      </w:r>
    </w:p>
    <w:p>
      <w:pPr>
        <w:spacing w:before="0" w:after="0" w:line="408" w:lineRule="exact"/>
        <w:ind w:left="0" w:right="0" w:firstLine="576"/>
        <w:jc w:val="left"/>
      </w:pPr>
      <w:r>
        <w:rPr/>
        <w:t xml:space="preserve">Restores the statutory procedures for imposing the death penalty, but makes those procedures applicable only for sentencing a person convicted of aggravated first degree murder committed on the premises of a K-12 school or institution of higher education.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76f3bed144f76" /></Relationships>
</file>