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74eda1ab44cae" /></Relationships>
</file>

<file path=word/document.xml><?xml version="1.0" encoding="utf-8"?>
<w:document xmlns:w="http://schemas.openxmlformats.org/wordprocessingml/2006/main">
  <w:body>
    <w:p>
      <w:r>
        <w:rPr>
          <w:b/>
        </w:rPr>
        <w:r>
          <w:rPr/>
          <w:t xml:space="preserve">5380-S</w:t>
        </w:r>
      </w:r>
      <w:r>
        <w:rPr>
          <w:b/>
        </w:rPr>
        <w:t xml:space="preserve"> </w:t>
        <w:t xml:space="preserve">AMH</w:t>
      </w:r>
      <w:r>
        <w:rPr>
          <w:b/>
        </w:rPr>
        <w:t xml:space="preserve"> </w:t>
        <w:r>
          <w:rPr/>
          <w:t xml:space="preserve">APP</w:t>
        </w:r>
      </w:r>
      <w:r>
        <w:rPr>
          <w:b/>
        </w:rPr>
        <w:t xml:space="preserve"> </w:t>
        <w:r>
          <w:rPr/>
          <w:t xml:space="preserve">H2881.1</w:t>
        </w:r>
      </w:r>
      <w:r>
        <w:rPr>
          <w:b/>
        </w:rPr>
        <w:t xml:space="preserve"> - NOT FOR FLOOR USE</w:t>
      </w:r>
    </w:p>
    <w:p>
      <w:pPr>
        <w:ind w:left="0" w:right="0" w:firstLine="576"/>
      </w:pPr>
    </w:p>
    <w:p>
      <w:pPr>
        <w:spacing w:before="480" w:after="0" w:line="408" w:lineRule="exact"/>
      </w:pPr>
      <w:r>
        <w:rPr>
          <w:b/>
          <w:u w:val="single"/>
        </w:rPr>
        <w:t xml:space="preserve">SSB 5380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(2)(a) By January 1, 2021, a facility, entity, office, or provider group identified in RCW 70.225.040 with ten or more prescribers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(b) The department must develop a waiver process for the requirements of (a) of this subsection for facilities, entities, offices, or provider groups due to economic hardship, technological limitations that are not reasonably in the control of the facility, entity, office, or provider group, or other exceptional circumstance demonstrated by the facility, entity, office, or provider group. The waiver must be limited to one year or less, or for any other specified time frame set by the department.</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 and physician assistants;</w:t>
      </w:r>
    </w:p>
    <w:p>
      <w:pPr>
        <w:spacing w:before="0" w:after="0" w:line="408" w:lineRule="exact"/>
        <w:ind w:left="0" w:right="0" w:firstLine="576"/>
        <w:jc w:val="left"/>
      </w:pPr>
      <w:r>
        <w:rPr>
          <w:u w:val="single"/>
        </w:rPr>
        <w:t xml:space="preserve">(B) Osteopathic physicians and physician assistants;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There is a large body of evidence that medications approved by the federal food and drug administration for the treatment of opioid use disorder are highly effective for reducing deaths from opioid overdose and increasing medical outcomes in treatment.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It is the intent of the legislature that through a strong collaborative care approach, involving the team of providers, the person with opioid use disorder should be provided with a well-coordinated plan of interventions based on evidence while preserving the patient voice in treatment.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Given the state of Washington recognizes substance use disorders as chronic medical conditions,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may replicate effective approaches such as opioid hub and spoke treatment networks to broaden outreach and patient navigation with allied opioid use disorder community partners, including but not limited to: Federally accredited opioid treatment programs,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(c) Given the unique role opioid treatment programs serve in the continuum of care for persons with opioid use disorders,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 and</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r>
        <w:rPr/>
        <w:t xml:space="preserve"> </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To achieve the goals of subsection (3) of this section,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w:t>
      </w:r>
    </w:p>
    <w:p>
      <w:pPr>
        <w:spacing w:before="0" w:after="0" w:line="408" w:lineRule="exact"/>
        <w:ind w:left="0" w:right="0" w:firstLine="576"/>
        <w:jc w:val="left"/>
      </w:pPr>
      <w:r>
        <w:rPr/>
        <w:t xml:space="preserve">(a) Prescribers to submit certain controlled substances prescriptions electronically beginning January 1, 2021.</w:t>
      </w:r>
    </w:p>
    <w:p>
      <w:pPr>
        <w:spacing w:before="0" w:after="0" w:line="408" w:lineRule="exact"/>
        <w:ind w:left="0" w:right="0" w:firstLine="576"/>
        <w:jc w:val="left"/>
      </w:pPr>
      <w:r>
        <w:rPr/>
        <w:t xml:space="preserve">(b) Entities or facilities with ten or more prescribers to integrate their electronic health records (EHRs) with the prescription monitoring program (PMP) beginning January 1, 2021, unless the Department of Health (DOH) grants a waiver.</w:t>
      </w:r>
    </w:p>
    <w:p>
      <w:pPr>
        <w:spacing w:before="0" w:after="0" w:line="408" w:lineRule="exact"/>
        <w:ind w:left="0" w:right="0" w:firstLine="576"/>
        <w:jc w:val="left"/>
      </w:pPr>
      <w:r>
        <w:rPr/>
        <w:t xml:space="preserve">(c) The Department of Corrections to develop policies to prioritize services based on available grant funding and funds appropriated specifically for opioid use disorder treatment.</w:t>
      </w:r>
    </w:p>
    <w:p>
      <w:pPr>
        <w:spacing w:before="0" w:after="0" w:line="408" w:lineRule="exact"/>
        <w:ind w:left="0" w:right="0" w:firstLine="576"/>
        <w:jc w:val="left"/>
      </w:pPr>
      <w:r>
        <w:rPr/>
        <w:t xml:space="preserve">(2) Removes certain requirements that the DOH study a number of issues related to integration of the PMP into EHRs in Washington.</w:t>
      </w:r>
    </w:p>
    <w:p>
      <w:pPr>
        <w:spacing w:before="0" w:after="0" w:line="408" w:lineRule="exact"/>
        <w:ind w:left="0" w:right="0" w:firstLine="576"/>
        <w:jc w:val="left"/>
      </w:pPr>
      <w:r>
        <w:rPr/>
        <w:t xml:space="preserve">(3) Changes:</w:t>
      </w:r>
    </w:p>
    <w:p>
      <w:pPr>
        <w:spacing w:before="0" w:after="0" w:line="408" w:lineRule="exact"/>
        <w:ind w:left="0" w:right="0" w:firstLine="576"/>
        <w:jc w:val="left"/>
      </w:pPr>
      <w:r>
        <w:rPr/>
        <w:t xml:space="preserve">(a) The requirement that the Health Care Authority (HCA) must replicate effective treatment approaches such as the opioid hub and spoke treatment networks to broaden outreach and patient navigation, so that the HCA may replicate these approaches.</w:t>
      </w:r>
    </w:p>
    <w:p>
      <w:pPr>
        <w:spacing w:before="0" w:after="0" w:line="408" w:lineRule="exact"/>
        <w:ind w:left="0" w:right="0" w:firstLine="576"/>
        <w:jc w:val="left"/>
      </w:pPr>
      <w:r>
        <w:rPr/>
        <w:t xml:space="preserve">(b) "Provider" to "prescriber" for purposes of the threshold requiring facilities, entities, offices, and provider groups of ten or more prescribers rather than providers to integrate their EHR with the PMP.</w:t>
      </w:r>
    </w:p>
    <w:p>
      <w:pPr>
        <w:spacing w:before="0" w:after="0" w:line="408" w:lineRule="exact"/>
        <w:ind w:left="0" w:right="0" w:firstLine="576"/>
        <w:jc w:val="left"/>
      </w:pPr>
      <w:r>
        <w:rPr/>
        <w:t xml:space="preserve">(c) "Practitioner" to "facility, entity, office, or provider group" for purposes of the waiver a facility, entity, office, or provider group may obtain from the DOH from the requirement to integrate their EHR with the PMP.</w:t>
      </w:r>
    </w:p>
    <w:p>
      <w:pPr>
        <w:spacing w:before="0" w:after="0" w:line="408" w:lineRule="exact"/>
        <w:ind w:left="0" w:right="0" w:firstLine="576"/>
        <w:jc w:val="left"/>
      </w:pPr>
      <w:r>
        <w:rPr/>
        <w:t xml:space="preserve">(4) Modifies the requirements on city and county jails:</w:t>
      </w:r>
    </w:p>
    <w:p>
      <w:pPr>
        <w:spacing w:before="0" w:after="0" w:line="408" w:lineRule="exact"/>
        <w:ind w:left="0" w:right="0" w:firstLine="576"/>
        <w:jc w:val="left"/>
      </w:pPr>
      <w:r>
        <w:rPr/>
        <w:t xml:space="preserve">(a) To provide medication assisted treatment (MAT) to persons in custody who were receiving medication for the treatment of opioid use disorder before incarceration or provide medication to persons in custody 30 days before release if treatment is determined to be medically necessary, so that jails must only provide MAT to the extent that funding is provided through either an appropriation or approval of a Section 1115 waiver.</w:t>
      </w:r>
    </w:p>
    <w:p>
      <w:pPr>
        <w:spacing w:before="0" w:after="0" w:line="408" w:lineRule="exact"/>
        <w:ind w:left="0" w:right="0" w:firstLine="576"/>
        <w:jc w:val="left"/>
      </w:pPr>
      <w:r>
        <w:rPr/>
        <w:t xml:space="preserve">(b) To make every possible effort to directly connect incarcerated individuals receiving medication for the treatment of opioid use disorder to an appropriate provider or treatment site before release; instead, city and county jails are required to only make reasonable efforts to connect incarcerated individuals to an appropriate provider or treatment site.</w:t>
      </w:r>
    </w:p>
    <w:p>
      <w:pPr>
        <w:spacing w:before="0" w:after="0" w:line="408" w:lineRule="exact"/>
        <w:ind w:left="0" w:right="0" w:firstLine="576"/>
        <w:jc w:val="left"/>
      </w:pPr>
      <w:r>
        <w:rPr/>
        <w:t xml:space="preserve">(5) Includes physician assistants in the prescriber feedback reports the largest health professional association representing each of the prescribing professions may provide.</w:t>
      </w:r>
    </w:p>
    <w:p>
      <w:pPr>
        <w:spacing w:before="0" w:after="0" w:line="408" w:lineRule="exact"/>
        <w:ind w:left="0" w:right="0" w:firstLine="576"/>
        <w:jc w:val="left"/>
      </w:pPr>
      <w:r>
        <w:rPr/>
        <w:t xml:space="preserve">(6) States that it is the intent of the Legislature that a person with opioid use disorder should be provided with a well-coordinated plan of interventions based on evidence while preserving the patient voice, rather than a patient must be provided with a well-coordinated plan of interventions based on evidence while preserving the patient voice.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73117b0c04199" /></Relationships>
</file>