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4e898198f4b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accordance with the requirements of this section, every public school may offer reproductive health education to students in grades four through six. A school that provides instruction under this section may only use minimal graphics and diagrams for the instruction, and may not use photographs, props, or models.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Instruction provided under this section may only focus on physiological changes resulting from puberty and may not include homework or internet components.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28A.300.475 (Medically accurate sexual health education—Curricula—Participation excused—Parental review) and 2007 c 265 s 2 are each repealed."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all provisions of the underlying striking amendment.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Authorizes public schools, subject to specified requirements, to offer reproductive health to students in grades four through six.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Repeals sexual health education requirements in current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42f22226145e2" /></Relationships>
</file>